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3679" w14:textId="77777777" w:rsidR="003F17F4" w:rsidRPr="003F17F4" w:rsidRDefault="003F17F4" w:rsidP="003F17F4">
      <w:pPr>
        <w:jc w:val="center"/>
        <w:rPr>
          <w:rFonts w:cs="Arial"/>
          <w:b/>
          <w:szCs w:val="20"/>
          <w:lang w:val="en-US"/>
        </w:rPr>
      </w:pPr>
      <w:r w:rsidRPr="003F17F4">
        <w:rPr>
          <w:rFonts w:cs="Arial"/>
          <w:b/>
          <w:szCs w:val="20"/>
          <w:lang w:val="en-US"/>
        </w:rPr>
        <w:t>HOW I USE FMT TO TREAT DOGS WITH GI DISEASE</w:t>
      </w:r>
    </w:p>
    <w:p w14:paraId="6F7993CD" w14:textId="77777777" w:rsidR="003F17F4" w:rsidRPr="003F17F4" w:rsidRDefault="003F17F4" w:rsidP="003F17F4">
      <w:pPr>
        <w:rPr>
          <w:rFonts w:cs="Arial"/>
          <w:szCs w:val="20"/>
          <w:lang w:val="en-US"/>
        </w:rPr>
      </w:pPr>
    </w:p>
    <w:p w14:paraId="26280321" w14:textId="77777777" w:rsidR="003F17F4" w:rsidRPr="003F17F4" w:rsidRDefault="003F17F4" w:rsidP="003F17F4">
      <w:pPr>
        <w:pStyle w:val="Heading2"/>
        <w:tabs>
          <w:tab w:val="center" w:pos="4678"/>
          <w:tab w:val="left" w:pos="7642"/>
        </w:tabs>
        <w:jc w:val="left"/>
        <w:rPr>
          <w:rFonts w:cs="Arial"/>
          <w:szCs w:val="20"/>
          <w:lang w:val="en-US"/>
        </w:rPr>
      </w:pPr>
      <w:r w:rsidRPr="003F17F4">
        <w:rPr>
          <w:rFonts w:cs="Arial"/>
          <w:szCs w:val="20"/>
          <w:lang w:val="en-US"/>
        </w:rPr>
        <w:tab/>
        <w:t xml:space="preserve">Frédéric Gaschen, </w:t>
      </w:r>
      <w:proofErr w:type="spellStart"/>
      <w:r w:rsidRPr="003F17F4">
        <w:rPr>
          <w:rFonts w:cs="Arial"/>
          <w:szCs w:val="20"/>
          <w:lang w:val="en-US"/>
        </w:rPr>
        <w:t>Dr.med.vet</w:t>
      </w:r>
      <w:proofErr w:type="spellEnd"/>
      <w:r w:rsidRPr="003F17F4">
        <w:rPr>
          <w:rFonts w:cs="Arial"/>
          <w:szCs w:val="20"/>
          <w:lang w:val="en-US"/>
        </w:rPr>
        <w:t xml:space="preserve">, </w:t>
      </w:r>
      <w:proofErr w:type="spellStart"/>
      <w:proofErr w:type="gramStart"/>
      <w:r w:rsidRPr="003F17F4">
        <w:rPr>
          <w:rFonts w:cs="Arial"/>
          <w:szCs w:val="20"/>
          <w:lang w:val="en-US"/>
        </w:rPr>
        <w:t>Dr.habil</w:t>
      </w:r>
      <w:proofErr w:type="spellEnd"/>
      <w:proofErr w:type="gramEnd"/>
      <w:r w:rsidRPr="003F17F4">
        <w:rPr>
          <w:rFonts w:cs="Arial"/>
          <w:szCs w:val="20"/>
          <w:lang w:val="en-US"/>
        </w:rPr>
        <w:t xml:space="preserve">. DACVIM (SAIM), DECVIM-CA (IM), AGAF </w:t>
      </w:r>
      <w:r w:rsidRPr="003F17F4">
        <w:rPr>
          <w:rFonts w:cs="Arial"/>
          <w:szCs w:val="20"/>
          <w:lang w:val="en-US" w:eastAsia="es-ES_tradnl"/>
        </w:rPr>
        <w:tab/>
      </w:r>
    </w:p>
    <w:p w14:paraId="680CD2CA" w14:textId="77777777" w:rsidR="003F17F4" w:rsidRPr="003F17F4" w:rsidRDefault="003F17F4" w:rsidP="003F17F4">
      <w:pPr>
        <w:pStyle w:val="Heading2"/>
        <w:rPr>
          <w:rFonts w:cs="Arial"/>
          <w:szCs w:val="20"/>
          <w:lang w:val="en-US"/>
        </w:rPr>
      </w:pPr>
      <w:r w:rsidRPr="003F17F4">
        <w:rPr>
          <w:rFonts w:cs="Arial"/>
          <w:szCs w:val="20"/>
          <w:lang w:val="en-US"/>
        </w:rPr>
        <w:t>Louisiana State University</w:t>
      </w:r>
    </w:p>
    <w:p w14:paraId="4EFF8C5D" w14:textId="77777777" w:rsidR="003F17F4" w:rsidRPr="003F17F4" w:rsidRDefault="003F17F4" w:rsidP="003F17F4">
      <w:pPr>
        <w:pStyle w:val="Heading2"/>
        <w:rPr>
          <w:rFonts w:cs="Arial"/>
          <w:szCs w:val="20"/>
          <w:lang w:val="en-US"/>
        </w:rPr>
      </w:pPr>
      <w:r w:rsidRPr="003F17F4">
        <w:rPr>
          <w:rFonts w:cs="Arial"/>
          <w:szCs w:val="20"/>
          <w:lang w:val="en-US"/>
        </w:rPr>
        <w:t>School of Veterinary Medicine</w:t>
      </w:r>
    </w:p>
    <w:p w14:paraId="3CB8A4BA" w14:textId="77777777" w:rsidR="003F17F4" w:rsidRPr="003F17F4" w:rsidRDefault="003F17F4" w:rsidP="003F17F4">
      <w:pPr>
        <w:pStyle w:val="Heading2"/>
        <w:rPr>
          <w:rFonts w:cs="Arial"/>
          <w:szCs w:val="20"/>
          <w:lang w:val="en-US"/>
        </w:rPr>
      </w:pPr>
      <w:r w:rsidRPr="003F17F4">
        <w:rPr>
          <w:rFonts w:cs="Arial"/>
          <w:szCs w:val="20"/>
          <w:lang w:val="en-US"/>
        </w:rPr>
        <w:t>Baton Rouge, Louisiana</w:t>
      </w:r>
    </w:p>
    <w:p w14:paraId="12943E5A" w14:textId="77777777" w:rsidR="003F17F4" w:rsidRPr="003F17F4" w:rsidRDefault="003F17F4" w:rsidP="003F17F4">
      <w:pPr>
        <w:pStyle w:val="Heading2"/>
        <w:rPr>
          <w:rFonts w:cs="Arial"/>
          <w:szCs w:val="20"/>
          <w:lang w:val="en-US"/>
        </w:rPr>
      </w:pPr>
      <w:r w:rsidRPr="003F17F4">
        <w:rPr>
          <w:rFonts w:cs="Arial"/>
          <w:szCs w:val="20"/>
          <w:lang w:val="en-US"/>
        </w:rPr>
        <w:t>USA</w:t>
      </w:r>
    </w:p>
    <w:p w14:paraId="5C28C0CF" w14:textId="77777777" w:rsidR="003F17F4" w:rsidRPr="003F17F4" w:rsidRDefault="003F17F4" w:rsidP="003F17F4">
      <w:pPr>
        <w:pStyle w:val="Heading1"/>
        <w:jc w:val="both"/>
        <w:rPr>
          <w:rFonts w:cs="Arial"/>
          <w:sz w:val="20"/>
          <w:szCs w:val="20"/>
          <w:lang w:val="en-US"/>
        </w:rPr>
      </w:pPr>
    </w:p>
    <w:p w14:paraId="2279B54B" w14:textId="63F76EEF" w:rsidR="003F17F4" w:rsidRPr="003F17F4" w:rsidRDefault="003F17F4" w:rsidP="003F17F4">
      <w:pPr>
        <w:rPr>
          <w:rFonts w:cs="Arial"/>
          <w:szCs w:val="20"/>
          <w:lang w:val="en-US"/>
        </w:rPr>
      </w:pPr>
      <w:r w:rsidRPr="003F17F4">
        <w:rPr>
          <w:rFonts w:cs="Arial"/>
          <w:szCs w:val="20"/>
          <w:lang w:val="en-US"/>
        </w:rPr>
        <w:t>The intestinal microbiome is a complex system consisting of bacteria, fungi, archaea, and viruses with extended interactions with its host. The constant communication between gut microbiota and the intestinal innate immune system</w:t>
      </w:r>
      <w:r>
        <w:rPr>
          <w:rFonts w:cs="Arial"/>
          <w:szCs w:val="20"/>
          <w:lang w:val="en-US"/>
        </w:rPr>
        <w:t>,</w:t>
      </w:r>
      <w:r w:rsidRPr="003F17F4">
        <w:rPr>
          <w:rFonts w:cs="Arial"/>
          <w:szCs w:val="20"/>
          <w:lang w:val="en-US"/>
        </w:rPr>
        <w:t xml:space="preserve"> and the production of a vast array of metabolites (the gut metabolome) by these microorganisms are both of central importance for their role in health and diseases. Overall, the gut microbiota provides essential benefits to the host’s health: locally, they play a key role in the development and function of the gastrointestinal, immune system, protect against enteric pathogens, support the integrity of the epithelial barrier, and promote nutrient supply to the enterocytes. Moreover, and equally importantly, the gut microbiome and its metabolome also significantly impact the health of many other body systems beyond the GI tract. </w:t>
      </w:r>
    </w:p>
    <w:p w14:paraId="322CCDE5" w14:textId="77777777" w:rsidR="003F17F4" w:rsidRPr="003F17F4" w:rsidRDefault="003F17F4" w:rsidP="003F17F4">
      <w:pPr>
        <w:rPr>
          <w:rFonts w:cs="Arial"/>
          <w:szCs w:val="20"/>
          <w:lang w:val="en-US"/>
        </w:rPr>
      </w:pPr>
    </w:p>
    <w:p w14:paraId="7BE3A740" w14:textId="77777777" w:rsidR="003F17F4" w:rsidRPr="003F17F4" w:rsidRDefault="003F17F4" w:rsidP="003F17F4">
      <w:pPr>
        <w:rPr>
          <w:rFonts w:cs="Arial"/>
          <w:szCs w:val="20"/>
          <w:lang w:val="en-US"/>
        </w:rPr>
      </w:pPr>
      <w:r w:rsidRPr="003F17F4">
        <w:rPr>
          <w:rFonts w:cs="Arial"/>
          <w:b/>
          <w:bCs/>
          <w:szCs w:val="20"/>
          <w:lang w:val="en-US"/>
        </w:rPr>
        <w:t>DEFINITION</w:t>
      </w:r>
    </w:p>
    <w:p w14:paraId="0D73F327" w14:textId="77777777" w:rsidR="001728FA" w:rsidRDefault="003F17F4" w:rsidP="003F17F4">
      <w:pPr>
        <w:rPr>
          <w:rFonts w:cs="Arial"/>
          <w:szCs w:val="20"/>
          <w:lang w:val="en-US"/>
        </w:rPr>
      </w:pPr>
      <w:r w:rsidRPr="003F17F4">
        <w:rPr>
          <w:rFonts w:cs="Arial"/>
          <w:szCs w:val="20"/>
          <w:lang w:val="en-US"/>
        </w:rPr>
        <w:t xml:space="preserve">Fecal microbiota transplantation (FMT) consists of transferring fecal microbiota from a healthy donor to a host with an abnormal intestinal microbiome. While the technique has been known and used for many centuries in various indications, it has gained popularity in the last decade for treating </w:t>
      </w:r>
      <w:proofErr w:type="spellStart"/>
      <w:r w:rsidRPr="003F17F4">
        <w:rPr>
          <w:rFonts w:cs="Arial"/>
          <w:i/>
          <w:szCs w:val="20"/>
          <w:lang w:val="en-US"/>
        </w:rPr>
        <w:t>Clostridiodes</w:t>
      </w:r>
      <w:proofErr w:type="spellEnd"/>
      <w:r w:rsidRPr="003F17F4">
        <w:rPr>
          <w:rFonts w:cs="Arial"/>
          <w:i/>
          <w:szCs w:val="20"/>
          <w:lang w:val="en-US"/>
        </w:rPr>
        <w:t xml:space="preserve"> difficile</w:t>
      </w:r>
      <w:r w:rsidRPr="003F17F4">
        <w:rPr>
          <w:rFonts w:cs="Arial"/>
          <w:szCs w:val="20"/>
          <w:lang w:val="en-US"/>
        </w:rPr>
        <w:t xml:space="preserve"> colitis and other</w:t>
      </w:r>
      <w:r w:rsidR="00DD48B0">
        <w:rPr>
          <w:rFonts w:cs="Arial"/>
          <w:szCs w:val="20"/>
          <w:lang w:val="en-US"/>
        </w:rPr>
        <w:t xml:space="preserve"> </w:t>
      </w:r>
      <w:r w:rsidRPr="003F17F4">
        <w:rPr>
          <w:rFonts w:cs="Arial"/>
          <w:szCs w:val="20"/>
          <w:lang w:val="en-US"/>
        </w:rPr>
        <w:t>diseases in people. FMT aims to provide a healthy and viable sample of fecal microbiota to repopulate the recipient’s own microbiota. In addition, FMT also delivers essential metabolites such as secondary bile acids and fatty acids that may be lacking in the host</w:t>
      </w:r>
      <w:r w:rsidR="00D04EC8">
        <w:rPr>
          <w:rFonts w:cs="Arial"/>
          <w:szCs w:val="20"/>
          <w:lang w:val="en-US"/>
        </w:rPr>
        <w:t xml:space="preserve"> (postbiotics)</w:t>
      </w:r>
      <w:r w:rsidRPr="003F17F4">
        <w:rPr>
          <w:rFonts w:cs="Arial"/>
          <w:szCs w:val="20"/>
          <w:lang w:val="en-US"/>
        </w:rPr>
        <w:t xml:space="preserve">. </w:t>
      </w:r>
    </w:p>
    <w:p w14:paraId="27C42353" w14:textId="77777777" w:rsidR="001728FA" w:rsidRDefault="001728FA" w:rsidP="003F17F4">
      <w:pPr>
        <w:rPr>
          <w:rFonts w:cs="Arial"/>
          <w:szCs w:val="20"/>
          <w:lang w:val="en-US"/>
        </w:rPr>
      </w:pPr>
    </w:p>
    <w:p w14:paraId="67943304" w14:textId="54D929EE" w:rsidR="003F17F4" w:rsidRPr="003F17F4" w:rsidRDefault="001728FA" w:rsidP="003F17F4">
      <w:pPr>
        <w:rPr>
          <w:rFonts w:cs="Arial"/>
          <w:szCs w:val="20"/>
          <w:lang w:val="en-US"/>
        </w:rPr>
      </w:pPr>
      <w:r>
        <w:rPr>
          <w:rFonts w:cs="Arial"/>
          <w:szCs w:val="20"/>
          <w:lang w:val="en-US"/>
        </w:rPr>
        <w:t xml:space="preserve">Restoration of the gut microbiome and metabolome is an interesting aspect for the multi-pronged approach required to successfully manage dogs with chronic inflammatory enteropathies that are not responsive to diet change alone. Therefore, FMT should not be viewed as a single “miracle treatment” in dogs with chronic disease. </w:t>
      </w:r>
      <w:r w:rsidR="003F17F4" w:rsidRPr="003F17F4">
        <w:rPr>
          <w:rFonts w:cs="Arial"/>
          <w:szCs w:val="20"/>
          <w:lang w:val="en-US"/>
        </w:rPr>
        <w:t xml:space="preserve">Clinical guidelines for FMT in small animals from a consortium of experts have </w:t>
      </w:r>
      <w:r>
        <w:rPr>
          <w:rFonts w:cs="Arial"/>
          <w:szCs w:val="20"/>
          <w:lang w:val="en-US"/>
        </w:rPr>
        <w:t>recently</w:t>
      </w:r>
      <w:r w:rsidR="003F17F4" w:rsidRPr="003F17F4">
        <w:rPr>
          <w:rFonts w:cs="Arial"/>
          <w:szCs w:val="20"/>
          <w:lang w:val="en-US"/>
        </w:rPr>
        <w:t xml:space="preserve"> been published (see selected references). They constitute a good source of information for veterinarians interested in using the technique in their patients. </w:t>
      </w:r>
    </w:p>
    <w:p w14:paraId="3B760887" w14:textId="77777777" w:rsidR="003F17F4" w:rsidRPr="003F17F4" w:rsidRDefault="003F17F4" w:rsidP="003F17F4">
      <w:pPr>
        <w:rPr>
          <w:rFonts w:cs="Arial"/>
          <w:szCs w:val="20"/>
          <w:lang w:val="en-US"/>
        </w:rPr>
      </w:pPr>
    </w:p>
    <w:p w14:paraId="3A320859" w14:textId="77777777" w:rsidR="003F17F4" w:rsidRPr="003F17F4" w:rsidRDefault="003F17F4" w:rsidP="003F17F4">
      <w:pPr>
        <w:rPr>
          <w:rFonts w:cs="Arial"/>
          <w:b/>
          <w:bCs/>
          <w:szCs w:val="20"/>
          <w:lang w:val="en-US"/>
        </w:rPr>
      </w:pPr>
      <w:r w:rsidRPr="003F17F4">
        <w:rPr>
          <w:rFonts w:cs="Arial"/>
          <w:b/>
          <w:bCs/>
          <w:szCs w:val="20"/>
          <w:lang w:val="en-US"/>
        </w:rPr>
        <w:t>INDICATIONS FOR FMT</w:t>
      </w:r>
    </w:p>
    <w:p w14:paraId="2C7707FD" w14:textId="4106F952" w:rsidR="003F17F4" w:rsidRPr="003F17F4" w:rsidRDefault="003F17F4" w:rsidP="003F17F4">
      <w:pPr>
        <w:rPr>
          <w:rFonts w:cs="Arial"/>
          <w:szCs w:val="20"/>
          <w:lang w:val="en-US"/>
        </w:rPr>
      </w:pPr>
      <w:r w:rsidRPr="003F17F4">
        <w:rPr>
          <w:rFonts w:cs="Arial"/>
          <w:szCs w:val="20"/>
          <w:lang w:val="en-US"/>
        </w:rPr>
        <w:t xml:space="preserve">There is a growing amount of published data on the use of FMT in dogs and cats. </w:t>
      </w:r>
      <w:r w:rsidR="00DD48B0">
        <w:rPr>
          <w:rFonts w:cs="Arial"/>
          <w:szCs w:val="20"/>
          <w:lang w:val="en-US"/>
        </w:rPr>
        <w:t>An early</w:t>
      </w:r>
      <w:r w:rsidRPr="003F17F4">
        <w:rPr>
          <w:rFonts w:cs="Arial"/>
          <w:szCs w:val="20"/>
          <w:lang w:val="en-US"/>
        </w:rPr>
        <w:t xml:space="preserve"> study evaluated FMT as an adjunct to therapy in puppies with parvovirus infection. FMT was applied at patient admission and repeated every 48h as needed. The results were encouraging since FMT led to faster recovery from diarrhea and shorter hospitalization time. In another study, FMT was superior to antibiotics when evaluating recovery of normal fecal microbiota following an episode of acute diarrhea. However, clinical recovery was not faster in </w:t>
      </w:r>
      <w:r w:rsidR="00DD48B0">
        <w:rPr>
          <w:rFonts w:cs="Arial"/>
          <w:szCs w:val="20"/>
          <w:lang w:val="en-US"/>
        </w:rPr>
        <w:t>either</w:t>
      </w:r>
      <w:r w:rsidRPr="003F17F4">
        <w:rPr>
          <w:rFonts w:cs="Arial"/>
          <w:szCs w:val="20"/>
          <w:lang w:val="en-US"/>
        </w:rPr>
        <w:t xml:space="preserve"> of the 2 groups. In a 2023 retrospective study, FMT was used as an adjunct therapy in 41 dogs with chronic inflammatory enteropathy (CIE), and ¾ of the dogs responded </w:t>
      </w:r>
      <w:r w:rsidR="001728FA">
        <w:rPr>
          <w:rFonts w:cs="Arial"/>
          <w:szCs w:val="20"/>
          <w:lang w:val="en-US"/>
        </w:rPr>
        <w:t xml:space="preserve">favorably </w:t>
      </w:r>
      <w:r w:rsidRPr="003F17F4">
        <w:rPr>
          <w:rFonts w:cs="Arial"/>
          <w:szCs w:val="20"/>
          <w:lang w:val="en-US"/>
        </w:rPr>
        <w:t xml:space="preserve">to </w:t>
      </w:r>
      <w:r w:rsidR="001728FA">
        <w:rPr>
          <w:rFonts w:cs="Arial"/>
          <w:szCs w:val="20"/>
          <w:lang w:val="en-US"/>
        </w:rPr>
        <w:t>this addition to the management of their CIE</w:t>
      </w:r>
      <w:r w:rsidRPr="003F17F4">
        <w:rPr>
          <w:rFonts w:cs="Arial"/>
          <w:szCs w:val="20"/>
          <w:lang w:val="en-US"/>
        </w:rPr>
        <w:t xml:space="preserve">. They had a lower clinical activity index, were more active, and/or had better-formed feces.  Non-responders had evidence of more severe intestinal dysbiosis, measured with the fecal dysbiosis index, before the FMT when compared to responders. </w:t>
      </w:r>
    </w:p>
    <w:p w14:paraId="6D7A3D97" w14:textId="77777777" w:rsidR="003F17F4" w:rsidRPr="003F17F4" w:rsidRDefault="003F17F4" w:rsidP="003F17F4">
      <w:pPr>
        <w:rPr>
          <w:rFonts w:cs="Arial"/>
          <w:szCs w:val="20"/>
          <w:u w:val="single"/>
          <w:lang w:val="en-US"/>
        </w:rPr>
      </w:pPr>
    </w:p>
    <w:p w14:paraId="0599AB0B" w14:textId="77777777" w:rsidR="003F17F4" w:rsidRPr="003F17F4" w:rsidRDefault="003F17F4" w:rsidP="003F17F4">
      <w:pPr>
        <w:rPr>
          <w:rFonts w:cs="Arial"/>
          <w:b/>
          <w:bCs/>
          <w:szCs w:val="20"/>
          <w:lang w:val="en-US"/>
        </w:rPr>
      </w:pPr>
      <w:r w:rsidRPr="003F17F4">
        <w:rPr>
          <w:rFonts w:cs="Arial"/>
          <w:b/>
          <w:bCs/>
          <w:szCs w:val="20"/>
          <w:lang w:val="en-US"/>
        </w:rPr>
        <w:t xml:space="preserve">DONOR SELECTION </w:t>
      </w:r>
    </w:p>
    <w:p w14:paraId="734368BC" w14:textId="34C9F2B8" w:rsidR="003F17F4" w:rsidRPr="003F17F4" w:rsidRDefault="003F17F4" w:rsidP="003F17F4">
      <w:pPr>
        <w:rPr>
          <w:rFonts w:cs="Arial"/>
          <w:szCs w:val="20"/>
          <w:lang w:val="en-US"/>
        </w:rPr>
      </w:pPr>
      <w:r w:rsidRPr="003F17F4">
        <w:rPr>
          <w:rFonts w:cs="Arial"/>
          <w:szCs w:val="20"/>
          <w:lang w:val="en-US"/>
        </w:rPr>
        <w:t>The goal of donor selection is to identify healthy animals with feces that will not transmit any new disease to the recipient and will hopefully benefit the recipient’s gut microbiome. Canine donors should be clinically healthy with a normal body condition score, not prone to digestive diseases such as vomiting and diarrhea, and screened for intestinal parasites (nematodes, cestodes</w:t>
      </w:r>
      <w:r w:rsidR="001728FA">
        <w:rPr>
          <w:rFonts w:cs="Arial"/>
          <w:szCs w:val="20"/>
          <w:lang w:val="en-US"/>
        </w:rPr>
        <w:t>,</w:t>
      </w:r>
      <w:r w:rsidRPr="003F17F4">
        <w:rPr>
          <w:rFonts w:cs="Arial"/>
          <w:szCs w:val="20"/>
          <w:lang w:val="en-US"/>
        </w:rPr>
        <w:t xml:space="preserve"> and protozoa), and ideally for enteropathogenic bacteria (PCR). The author also evaluates the fecal dysbiosis index to check the health of the donor’s fecal microbiome. Moreover, fecal donors should not have received any antibiotics </w:t>
      </w:r>
      <w:r w:rsidR="00D04EC8">
        <w:rPr>
          <w:rFonts w:cs="Arial"/>
          <w:szCs w:val="20"/>
          <w:lang w:val="en-US"/>
        </w:rPr>
        <w:t>12</w:t>
      </w:r>
      <w:r w:rsidRPr="003F17F4">
        <w:rPr>
          <w:rFonts w:cs="Arial"/>
          <w:szCs w:val="20"/>
          <w:lang w:val="en-US"/>
        </w:rPr>
        <w:t xml:space="preserve"> months before collection</w:t>
      </w:r>
      <w:r w:rsidR="00DD48B0">
        <w:rPr>
          <w:rFonts w:cs="Arial"/>
          <w:szCs w:val="20"/>
          <w:lang w:val="en-US"/>
        </w:rPr>
        <w:t>.</w:t>
      </w:r>
      <w:r w:rsidRPr="003F17F4">
        <w:rPr>
          <w:rFonts w:cs="Arial"/>
          <w:szCs w:val="20"/>
          <w:lang w:val="en-US"/>
        </w:rPr>
        <w:t xml:space="preserve"> Table 1 summarizes several criteria of relevance. </w:t>
      </w:r>
    </w:p>
    <w:p w14:paraId="7C15E6C9" w14:textId="77777777" w:rsidR="003F17F4" w:rsidRPr="003F17F4" w:rsidRDefault="003F17F4" w:rsidP="003F17F4">
      <w:pPr>
        <w:rPr>
          <w:rFonts w:cs="Arial"/>
          <w:szCs w:val="20"/>
          <w:lang w:val="en-US"/>
        </w:rPr>
      </w:pPr>
    </w:p>
    <w:p w14:paraId="6F439BD6" w14:textId="77777777" w:rsidR="003F17F4" w:rsidRPr="003F17F4" w:rsidRDefault="003F17F4" w:rsidP="003F17F4">
      <w:pPr>
        <w:rPr>
          <w:rFonts w:cs="Arial"/>
          <w:b/>
          <w:bCs/>
          <w:szCs w:val="20"/>
          <w:lang w:val="en-US"/>
        </w:rPr>
      </w:pPr>
      <w:r w:rsidRPr="003F17F4">
        <w:rPr>
          <w:rFonts w:cs="Arial"/>
          <w:b/>
          <w:bCs/>
          <w:szCs w:val="20"/>
          <w:lang w:val="en-US"/>
        </w:rPr>
        <w:t xml:space="preserve">PREPARATION AND ADMINISTRATION </w:t>
      </w:r>
    </w:p>
    <w:p w14:paraId="0FBE5376" w14:textId="1705B2C8" w:rsidR="003F17F4" w:rsidRPr="003F17F4" w:rsidRDefault="003F17F4" w:rsidP="003F17F4">
      <w:pPr>
        <w:rPr>
          <w:rFonts w:cs="Arial"/>
          <w:szCs w:val="20"/>
          <w:lang w:val="en-US"/>
        </w:rPr>
      </w:pPr>
      <w:r w:rsidRPr="003F17F4">
        <w:rPr>
          <w:rFonts w:cs="Arial"/>
          <w:szCs w:val="20"/>
          <w:lang w:val="en-US"/>
        </w:rPr>
        <w:t xml:space="preserve">Fresh feces should be processed within 6-12 hours of defecation. Numerous protocols can be used to prepare FMT solutions. </w:t>
      </w:r>
      <w:r w:rsidR="00DD48B0">
        <w:rPr>
          <w:rFonts w:cs="Arial"/>
          <w:szCs w:val="20"/>
          <w:lang w:val="en-US"/>
        </w:rPr>
        <w:t>At t</w:t>
      </w:r>
      <w:r w:rsidRPr="003F17F4">
        <w:rPr>
          <w:rFonts w:cs="Arial"/>
          <w:szCs w:val="20"/>
          <w:lang w:val="en-US"/>
        </w:rPr>
        <w:t>he author</w:t>
      </w:r>
      <w:r w:rsidR="00DD48B0">
        <w:rPr>
          <w:rFonts w:cs="Arial"/>
          <w:szCs w:val="20"/>
          <w:lang w:val="en-US"/>
        </w:rPr>
        <w:t>’s institution, t</w:t>
      </w:r>
      <w:r w:rsidRPr="003F17F4">
        <w:rPr>
          <w:rFonts w:cs="Arial"/>
          <w:szCs w:val="20"/>
          <w:lang w:val="en-US"/>
        </w:rPr>
        <w:t xml:space="preserve">he feces are weighed and diluted with a volume of saline </w:t>
      </w:r>
      <w:r w:rsidRPr="003F17F4">
        <w:rPr>
          <w:rFonts w:cs="Arial"/>
          <w:szCs w:val="20"/>
          <w:lang w:val="en-US"/>
        </w:rPr>
        <w:lastRenderedPageBreak/>
        <w:t xml:space="preserve">equal to </w:t>
      </w:r>
      <w:r w:rsidR="00DD48B0">
        <w:rPr>
          <w:rFonts w:cs="Arial"/>
          <w:szCs w:val="20"/>
          <w:lang w:val="en-US"/>
        </w:rPr>
        <w:t>1-3</w:t>
      </w:r>
      <w:r w:rsidRPr="003F17F4">
        <w:rPr>
          <w:rFonts w:cs="Arial"/>
          <w:szCs w:val="20"/>
          <w:lang w:val="en-US"/>
        </w:rPr>
        <w:t xml:space="preserve"> x the fecal weight in g, then thoroughly mixed before filtration through a tea strainer. </w:t>
      </w:r>
      <w:r w:rsidR="00880AEC">
        <w:rPr>
          <w:rFonts w:cs="Arial"/>
          <w:szCs w:val="20"/>
          <w:lang w:val="en-US"/>
        </w:rPr>
        <w:t xml:space="preserve">A kitchen blender can be used for mixing. </w:t>
      </w:r>
      <w:r w:rsidRPr="003F17F4">
        <w:rPr>
          <w:rFonts w:cs="Arial"/>
          <w:szCs w:val="20"/>
          <w:lang w:val="en-US"/>
        </w:rPr>
        <w:t xml:space="preserve">Immediately following preparation, the fecal solution is administered to the recipient using a red rubber catheter via enema </w:t>
      </w:r>
      <w:r w:rsidR="00880AEC">
        <w:rPr>
          <w:rFonts w:cs="Arial"/>
          <w:szCs w:val="20"/>
          <w:lang w:val="en-US"/>
        </w:rPr>
        <w:t>delivered to</w:t>
      </w:r>
      <w:r w:rsidRPr="003F17F4">
        <w:rPr>
          <w:rFonts w:cs="Arial"/>
          <w:szCs w:val="20"/>
          <w:lang w:val="en-US"/>
        </w:rPr>
        <w:t xml:space="preserve"> the proximal part of the descending colon at a dose </w:t>
      </w:r>
      <w:r w:rsidR="00880AEC">
        <w:rPr>
          <w:rFonts w:cs="Arial"/>
          <w:szCs w:val="20"/>
          <w:lang w:val="en-US"/>
        </w:rPr>
        <w:t xml:space="preserve">corresponding to 2.5-5 mg feces per </w:t>
      </w:r>
      <w:r w:rsidRPr="003F17F4">
        <w:rPr>
          <w:rFonts w:cs="Arial"/>
          <w:szCs w:val="20"/>
          <w:lang w:val="en-US"/>
        </w:rPr>
        <w:t>kg</w:t>
      </w:r>
      <w:r w:rsidR="00880AEC">
        <w:rPr>
          <w:rFonts w:cs="Arial"/>
          <w:szCs w:val="20"/>
          <w:lang w:val="en-US"/>
        </w:rPr>
        <w:t xml:space="preserve"> recipient body weight</w:t>
      </w:r>
      <w:r w:rsidRPr="003F17F4">
        <w:rPr>
          <w:rFonts w:cs="Arial"/>
          <w:szCs w:val="20"/>
          <w:lang w:val="en-US"/>
        </w:rPr>
        <w:t xml:space="preserve">. </w:t>
      </w:r>
      <w:r w:rsidR="00880AEC">
        <w:rPr>
          <w:rFonts w:cs="Arial"/>
          <w:szCs w:val="20"/>
          <w:lang w:val="en-US"/>
        </w:rPr>
        <w:t>It is most often not necessary to</w:t>
      </w:r>
      <w:r w:rsidRPr="003F17F4">
        <w:rPr>
          <w:rFonts w:cs="Arial"/>
          <w:szCs w:val="20"/>
          <w:lang w:val="en-US"/>
        </w:rPr>
        <w:t xml:space="preserve"> administer a mild sedative to recipients before the enema. However, </w:t>
      </w:r>
      <w:r w:rsidR="00880AEC">
        <w:rPr>
          <w:rFonts w:cs="Arial"/>
          <w:szCs w:val="20"/>
          <w:lang w:val="en-US"/>
        </w:rPr>
        <w:t>sedation</w:t>
      </w:r>
      <w:r w:rsidRPr="003F17F4">
        <w:rPr>
          <w:rFonts w:cs="Arial"/>
          <w:szCs w:val="20"/>
          <w:lang w:val="en-US"/>
        </w:rPr>
        <w:t xml:space="preserve"> may be helpful </w:t>
      </w:r>
      <w:r w:rsidR="00880AEC">
        <w:rPr>
          <w:rFonts w:cs="Arial"/>
          <w:szCs w:val="20"/>
          <w:lang w:val="en-US"/>
        </w:rPr>
        <w:t>with</w:t>
      </w:r>
      <w:r w:rsidRPr="003F17F4">
        <w:rPr>
          <w:rFonts w:cs="Arial"/>
          <w:szCs w:val="20"/>
          <w:lang w:val="en-US"/>
        </w:rPr>
        <w:t xml:space="preserve"> difficult dogs. To avoid rapid evacuation of the transplanted solution, recipients should be kept quiet for 30 min</w:t>
      </w:r>
      <w:r w:rsidR="00880AEC">
        <w:rPr>
          <w:rFonts w:cs="Arial"/>
          <w:szCs w:val="20"/>
          <w:lang w:val="en-US"/>
        </w:rPr>
        <w:t>utes</w:t>
      </w:r>
      <w:r w:rsidRPr="003F17F4">
        <w:rPr>
          <w:rFonts w:cs="Arial"/>
          <w:szCs w:val="20"/>
          <w:lang w:val="en-US"/>
        </w:rPr>
        <w:t xml:space="preserve"> after administration. </w:t>
      </w:r>
    </w:p>
    <w:p w14:paraId="13948CF1" w14:textId="77777777" w:rsidR="003F17F4" w:rsidRPr="003F17F4" w:rsidRDefault="003F17F4" w:rsidP="003F17F4">
      <w:pPr>
        <w:rPr>
          <w:rFonts w:cs="Arial"/>
          <w:szCs w:val="20"/>
          <w:lang w:val="en-US"/>
        </w:rPr>
      </w:pPr>
    </w:p>
    <w:p w14:paraId="44EFC06F" w14:textId="0B25F1DC" w:rsidR="003F17F4" w:rsidRPr="003F17F4" w:rsidRDefault="005C5340" w:rsidP="003F17F4">
      <w:pPr>
        <w:rPr>
          <w:rFonts w:cs="Arial"/>
          <w:szCs w:val="20"/>
          <w:lang w:val="en-US"/>
        </w:rPr>
      </w:pPr>
      <w:r>
        <w:rPr>
          <w:rFonts w:cs="Arial"/>
          <w:szCs w:val="20"/>
          <w:lang w:val="en-US"/>
        </w:rPr>
        <w:t>A</w:t>
      </w:r>
      <w:r w:rsidRPr="003F17F4">
        <w:rPr>
          <w:rFonts w:cs="Arial"/>
          <w:szCs w:val="20"/>
          <w:lang w:val="en-US"/>
        </w:rPr>
        <w:t xml:space="preserve"> single or two FMTs might be sufficient to help with acute diarrhea. </w:t>
      </w:r>
      <w:r w:rsidR="003F17F4" w:rsidRPr="003F17F4">
        <w:rPr>
          <w:rFonts w:cs="Arial"/>
          <w:szCs w:val="20"/>
          <w:lang w:val="en-US"/>
        </w:rPr>
        <w:t xml:space="preserve">The need for repeat FMT depends on what disease is being treated. </w:t>
      </w:r>
      <w:r>
        <w:rPr>
          <w:rFonts w:cs="Arial"/>
          <w:szCs w:val="20"/>
          <w:lang w:val="en-US"/>
        </w:rPr>
        <w:t>Based on current evidence, d</w:t>
      </w:r>
      <w:r w:rsidR="003F17F4" w:rsidRPr="003F17F4">
        <w:rPr>
          <w:rFonts w:cs="Arial"/>
          <w:szCs w:val="20"/>
          <w:lang w:val="en-US"/>
        </w:rPr>
        <w:t>ogs with chronic enteropathies benefit from repeated FMTs</w:t>
      </w:r>
      <w:r w:rsidR="00880AEC">
        <w:rPr>
          <w:rFonts w:cs="Arial"/>
          <w:szCs w:val="20"/>
          <w:lang w:val="en-US"/>
        </w:rPr>
        <w:t xml:space="preserve">. The author currently recommends </w:t>
      </w:r>
      <w:r>
        <w:rPr>
          <w:rFonts w:cs="Arial"/>
          <w:szCs w:val="20"/>
          <w:lang w:val="en-US"/>
        </w:rPr>
        <w:t xml:space="preserve">an initial series of </w:t>
      </w:r>
      <w:r w:rsidR="00880AEC">
        <w:rPr>
          <w:rFonts w:cs="Arial"/>
          <w:szCs w:val="20"/>
          <w:lang w:val="en-US"/>
        </w:rPr>
        <w:t xml:space="preserve">3 </w:t>
      </w:r>
      <w:r>
        <w:rPr>
          <w:rFonts w:cs="Arial"/>
          <w:szCs w:val="20"/>
          <w:lang w:val="en-US"/>
        </w:rPr>
        <w:t xml:space="preserve">FMT enemas at 10-14-day intervals for dogs with chronic inflammatory enteropathies. This can be prolonged or repeated as needed to optimize management of their disease. </w:t>
      </w:r>
      <w:r w:rsidR="003F17F4" w:rsidRPr="003F17F4">
        <w:rPr>
          <w:rFonts w:cs="Arial"/>
          <w:szCs w:val="20"/>
          <w:lang w:val="en-US"/>
        </w:rPr>
        <w:t>Oral administration of FMT using gelatin capsules is another delivery method. Administration of fresh fecal solution is most accessible under practical conditions and seems to warrant the best survival of microorganisms. However, fecal solution can also be frozen at -20</w:t>
      </w:r>
      <w:r w:rsidR="00880AEC">
        <w:rPr>
          <w:rFonts w:cs="Arial"/>
          <w:szCs w:val="20"/>
          <w:lang w:val="en-US"/>
        </w:rPr>
        <w:t xml:space="preserve"> °</w:t>
      </w:r>
      <w:r w:rsidR="003F17F4" w:rsidRPr="003F17F4">
        <w:rPr>
          <w:rFonts w:cs="Arial"/>
          <w:szCs w:val="20"/>
          <w:lang w:val="en-US"/>
        </w:rPr>
        <w:t xml:space="preserve">C after adding 1 volume of pure glycerol solution to 9 volumes of fecal </w:t>
      </w:r>
      <w:r w:rsidRPr="003F17F4">
        <w:rPr>
          <w:rFonts w:cs="Arial"/>
          <w:szCs w:val="20"/>
          <w:lang w:val="en-US"/>
        </w:rPr>
        <w:t>solution and</w:t>
      </w:r>
      <w:r w:rsidR="003F17F4" w:rsidRPr="003F17F4">
        <w:rPr>
          <w:rFonts w:cs="Arial"/>
          <w:szCs w:val="20"/>
          <w:lang w:val="en-US"/>
        </w:rPr>
        <w:t xml:space="preserve"> stored for up to </w:t>
      </w:r>
      <w:r w:rsidR="00880AEC">
        <w:rPr>
          <w:rFonts w:cs="Arial"/>
          <w:szCs w:val="20"/>
          <w:lang w:val="en-US"/>
        </w:rPr>
        <w:t>6</w:t>
      </w:r>
      <w:r w:rsidR="003F17F4" w:rsidRPr="003F17F4">
        <w:rPr>
          <w:rFonts w:cs="Arial"/>
          <w:szCs w:val="20"/>
          <w:lang w:val="en-US"/>
        </w:rPr>
        <w:t xml:space="preserve"> months without significant loss of viability and diversity.</w:t>
      </w:r>
    </w:p>
    <w:p w14:paraId="3CB635B8" w14:textId="77777777" w:rsidR="003F17F4" w:rsidRPr="003F17F4" w:rsidRDefault="003F17F4" w:rsidP="003F17F4">
      <w:pPr>
        <w:rPr>
          <w:rFonts w:cs="Arial"/>
          <w:szCs w:val="20"/>
          <w:lang w:val="en-US"/>
        </w:rPr>
      </w:pPr>
    </w:p>
    <w:p w14:paraId="3537B40D" w14:textId="0A02B089" w:rsidR="003F17F4" w:rsidRPr="003F17F4" w:rsidRDefault="003F17F4" w:rsidP="003F17F4">
      <w:pPr>
        <w:rPr>
          <w:rFonts w:cs="Arial"/>
          <w:szCs w:val="20"/>
          <w:lang w:val="en-US"/>
        </w:rPr>
      </w:pPr>
      <w:r w:rsidRPr="003F17F4">
        <w:rPr>
          <w:rFonts w:cs="Arial"/>
          <w:szCs w:val="20"/>
          <w:lang w:val="en-US"/>
        </w:rPr>
        <w:t xml:space="preserve">Alternate techniques include oral administration of FMT using capsules filled with lyophilized feces or frozen capsules containing a fecal mixture. Lyophilized fecal capsules are commercially available (e.g., </w:t>
      </w:r>
      <w:hyperlink r:id="rId7" w:history="1">
        <w:r w:rsidR="00DD48B0" w:rsidRPr="00155BDB">
          <w:rPr>
            <w:rStyle w:val="Hyperlink"/>
            <w:rFonts w:cs="Arial"/>
            <w:szCs w:val="20"/>
            <w:lang w:val="en-US"/>
          </w:rPr>
          <w:t>www.AnimalBiome.com</w:t>
        </w:r>
      </w:hyperlink>
      <w:r w:rsidRPr="003F17F4">
        <w:rPr>
          <w:rFonts w:cs="Arial"/>
          <w:szCs w:val="20"/>
          <w:lang w:val="en-US"/>
        </w:rPr>
        <w:t>)</w:t>
      </w:r>
      <w:r w:rsidR="00DD48B0">
        <w:rPr>
          <w:rFonts w:cs="Arial"/>
          <w:szCs w:val="20"/>
          <w:lang w:val="en-US"/>
        </w:rPr>
        <w:t>,</w:t>
      </w:r>
      <w:r w:rsidRPr="003F17F4">
        <w:rPr>
          <w:rFonts w:cs="Arial"/>
          <w:szCs w:val="20"/>
          <w:lang w:val="en-US"/>
        </w:rPr>
        <w:t xml:space="preserve"> and a device is commercially available for preparing FMT capsules in a clinic environment (FMT processing device, </w:t>
      </w:r>
      <w:hyperlink r:id="rId8" w:history="1">
        <w:r w:rsidR="00DD48B0" w:rsidRPr="00155BDB">
          <w:rPr>
            <w:rStyle w:val="Hyperlink"/>
            <w:rFonts w:cs="Arial"/>
            <w:szCs w:val="20"/>
            <w:lang w:val="en-US"/>
          </w:rPr>
          <w:t>www.AmendPet.com</w:t>
        </w:r>
      </w:hyperlink>
      <w:r w:rsidRPr="003F17F4">
        <w:rPr>
          <w:rFonts w:cs="Arial"/>
          <w:szCs w:val="20"/>
          <w:lang w:val="en-US"/>
        </w:rPr>
        <w:t>). Oral FMT is usually administered daily for a duration that varies depending on which expert is consulted</w:t>
      </w:r>
      <w:r w:rsidR="00880AEC">
        <w:rPr>
          <w:rFonts w:cs="Arial"/>
          <w:szCs w:val="20"/>
          <w:lang w:val="en-US"/>
        </w:rPr>
        <w:t>. For acute diseases</w:t>
      </w:r>
      <w:r w:rsidR="00DD48B0">
        <w:rPr>
          <w:rFonts w:cs="Arial"/>
          <w:szCs w:val="20"/>
          <w:lang w:val="en-US"/>
        </w:rPr>
        <w:t>,</w:t>
      </w:r>
      <w:r w:rsidRPr="003F17F4">
        <w:rPr>
          <w:rFonts w:cs="Arial"/>
          <w:szCs w:val="20"/>
          <w:lang w:val="en-US"/>
        </w:rPr>
        <w:t xml:space="preserve"> </w:t>
      </w:r>
      <w:r w:rsidR="00880AEC">
        <w:rPr>
          <w:rFonts w:cs="Arial"/>
          <w:szCs w:val="20"/>
          <w:lang w:val="en-US"/>
        </w:rPr>
        <w:t xml:space="preserve">a 7-to-14-day course </w:t>
      </w:r>
      <w:r w:rsidRPr="003F17F4">
        <w:rPr>
          <w:rFonts w:cs="Arial"/>
          <w:szCs w:val="20"/>
          <w:lang w:val="en-US"/>
        </w:rPr>
        <w:t xml:space="preserve">is generally </w:t>
      </w:r>
      <w:r w:rsidR="00880AEC">
        <w:rPr>
          <w:rFonts w:cs="Arial"/>
          <w:szCs w:val="20"/>
          <w:lang w:val="en-US"/>
        </w:rPr>
        <w:t>recommended</w:t>
      </w:r>
      <w:r w:rsidRPr="003F17F4">
        <w:rPr>
          <w:rFonts w:cs="Arial"/>
          <w:szCs w:val="20"/>
          <w:lang w:val="en-US"/>
        </w:rPr>
        <w:t>.</w:t>
      </w:r>
      <w:r w:rsidR="00880AEC">
        <w:rPr>
          <w:rFonts w:cs="Arial"/>
          <w:szCs w:val="20"/>
          <w:lang w:val="en-US"/>
        </w:rPr>
        <w:t xml:space="preserve"> Chronic diseases most likely benefit from longer courses.</w:t>
      </w:r>
      <w:r w:rsidRPr="003F17F4">
        <w:rPr>
          <w:rFonts w:cs="Arial"/>
          <w:szCs w:val="20"/>
          <w:lang w:val="en-US"/>
        </w:rPr>
        <w:t xml:space="preserve"> Based on the author’s experience with frozen capsules, oral FMT is usually well accepted by pet owners and can be administered like any other oral medication. </w:t>
      </w:r>
    </w:p>
    <w:p w14:paraId="35033941" w14:textId="77777777" w:rsidR="003F17F4" w:rsidRPr="003F17F4" w:rsidRDefault="003F17F4" w:rsidP="003F17F4">
      <w:pPr>
        <w:rPr>
          <w:rFonts w:cs="Arial"/>
          <w:szCs w:val="20"/>
          <w:lang w:val="en-US"/>
        </w:rPr>
      </w:pPr>
    </w:p>
    <w:p w14:paraId="57B846FB" w14:textId="77777777" w:rsidR="003F17F4" w:rsidRPr="003F17F4" w:rsidRDefault="003F17F4" w:rsidP="003F17F4">
      <w:pPr>
        <w:rPr>
          <w:rFonts w:cs="Arial"/>
          <w:b/>
          <w:bCs/>
          <w:szCs w:val="20"/>
          <w:lang w:val="en-US"/>
        </w:rPr>
      </w:pPr>
      <w:r w:rsidRPr="003F17F4">
        <w:rPr>
          <w:rFonts w:cs="Arial"/>
          <w:b/>
          <w:bCs/>
          <w:szCs w:val="20"/>
          <w:lang w:val="en-US"/>
        </w:rPr>
        <w:t>OUTLOOK</w:t>
      </w:r>
    </w:p>
    <w:p w14:paraId="5387F941" w14:textId="09A67862" w:rsidR="003F17F4" w:rsidRPr="003F17F4" w:rsidRDefault="003F17F4" w:rsidP="003F17F4">
      <w:pPr>
        <w:rPr>
          <w:rFonts w:cs="Arial"/>
          <w:szCs w:val="20"/>
          <w:lang w:val="en-US"/>
        </w:rPr>
      </w:pPr>
      <w:r w:rsidRPr="003F17F4">
        <w:rPr>
          <w:rFonts w:cs="Arial"/>
          <w:szCs w:val="20"/>
          <w:lang w:val="en-US"/>
        </w:rPr>
        <w:t xml:space="preserve">FMT has gained popularity in the treatment of acute and chronic GI disorders of dogs and cats in small animal practice. Several recent publications confirmed its potential value in acute and chronic GI diseases in dogs, and veterinarians have accumulated positive </w:t>
      </w:r>
      <w:r w:rsidR="005C5340">
        <w:rPr>
          <w:rFonts w:cs="Arial"/>
          <w:szCs w:val="20"/>
          <w:lang w:val="en-US"/>
        </w:rPr>
        <w:t>clinical</w:t>
      </w:r>
      <w:r w:rsidRPr="003F17F4">
        <w:rPr>
          <w:rFonts w:cs="Arial"/>
          <w:szCs w:val="20"/>
          <w:lang w:val="en-US"/>
        </w:rPr>
        <w:t xml:space="preserve"> experience with its use in dogs. However, </w:t>
      </w:r>
      <w:r w:rsidR="005C5340">
        <w:rPr>
          <w:rFonts w:cs="Arial"/>
          <w:szCs w:val="20"/>
          <w:lang w:val="en-US"/>
        </w:rPr>
        <w:t xml:space="preserve">more </w:t>
      </w:r>
      <w:r w:rsidRPr="003F17F4">
        <w:rPr>
          <w:rFonts w:cs="Arial"/>
          <w:szCs w:val="20"/>
          <w:lang w:val="en-US"/>
        </w:rPr>
        <w:t>controlled prospective studies are required to reliably evaluate the technique's benefits in various diseases of small animals. FMT might also have positive effects in treating diseases primarily affecting organs outside the GI tract. Examples could include hepatic encephalopathy, obesity, behavioral disorders, etc.</w:t>
      </w:r>
    </w:p>
    <w:p w14:paraId="227205F0" w14:textId="77777777" w:rsidR="003F17F4" w:rsidRPr="003F17F4" w:rsidRDefault="003F17F4" w:rsidP="003F17F4">
      <w:pPr>
        <w:rPr>
          <w:rFonts w:cs="Arial"/>
          <w:szCs w:val="20"/>
          <w:lang w:val="en-US"/>
        </w:rPr>
      </w:pPr>
    </w:p>
    <w:p w14:paraId="0B5A7B11" w14:textId="77777777" w:rsidR="003F17F4" w:rsidRPr="003F17F4" w:rsidRDefault="003F17F4" w:rsidP="003F17F4">
      <w:pPr>
        <w:rPr>
          <w:rFonts w:cs="Arial"/>
          <w:szCs w:val="20"/>
          <w:lang w:val="en-US"/>
        </w:rPr>
      </w:pPr>
      <w:r w:rsidRPr="003F17F4">
        <w:rPr>
          <w:rFonts w:cs="Arial"/>
          <w:b/>
          <w:bCs/>
          <w:szCs w:val="20"/>
          <w:lang w:val="en-US"/>
        </w:rPr>
        <w:t>SELECTED REFERENCES</w:t>
      </w:r>
      <w:r w:rsidRPr="003F17F4">
        <w:rPr>
          <w:rFonts w:cs="Arial"/>
          <w:szCs w:val="20"/>
          <w:lang w:val="en-US"/>
        </w:rPr>
        <w:t>:</w:t>
      </w:r>
    </w:p>
    <w:p w14:paraId="292FFB77" w14:textId="77777777" w:rsidR="003F17F4" w:rsidRPr="003F17F4" w:rsidRDefault="003F17F4" w:rsidP="003F17F4">
      <w:pPr>
        <w:pStyle w:val="ListParagraph"/>
        <w:numPr>
          <w:ilvl w:val="0"/>
          <w:numId w:val="2"/>
        </w:numPr>
        <w:ind w:left="360"/>
        <w:jc w:val="both"/>
        <w:rPr>
          <w:rFonts w:ascii="Arial" w:hAnsi="Arial" w:cs="Arial"/>
          <w:sz w:val="20"/>
          <w:szCs w:val="20"/>
        </w:rPr>
      </w:pPr>
      <w:r w:rsidRPr="003F17F4">
        <w:rPr>
          <w:rFonts w:ascii="Arial" w:hAnsi="Arial" w:cs="Arial"/>
          <w:sz w:val="20"/>
          <w:szCs w:val="20"/>
        </w:rPr>
        <w:t xml:space="preserve">Al </w:t>
      </w:r>
      <w:proofErr w:type="spellStart"/>
      <w:r w:rsidRPr="003F17F4">
        <w:rPr>
          <w:rFonts w:ascii="Arial" w:hAnsi="Arial" w:cs="Arial"/>
          <w:sz w:val="20"/>
          <w:szCs w:val="20"/>
        </w:rPr>
        <w:t>Shawaqfeh</w:t>
      </w:r>
      <w:proofErr w:type="spellEnd"/>
      <w:r w:rsidRPr="003F17F4">
        <w:rPr>
          <w:rFonts w:ascii="Arial" w:hAnsi="Arial" w:cs="Arial"/>
          <w:sz w:val="20"/>
          <w:szCs w:val="20"/>
        </w:rPr>
        <w:t xml:space="preserve"> MK, Wajid B, Minamoto Y, et al. A dysbiosis index to assess microbial changes in fecal samples of dogs with chronic inflammatory enteropathy</w:t>
      </w:r>
      <w:r w:rsidRPr="003F17F4">
        <w:rPr>
          <w:rFonts w:ascii="Arial" w:hAnsi="Arial" w:cs="Arial"/>
          <w:i/>
          <w:sz w:val="20"/>
          <w:szCs w:val="20"/>
        </w:rPr>
        <w:t>.</w:t>
      </w:r>
      <w:r w:rsidRPr="003F17F4">
        <w:rPr>
          <w:rFonts w:ascii="Arial" w:hAnsi="Arial" w:cs="Arial"/>
          <w:sz w:val="20"/>
          <w:szCs w:val="20"/>
        </w:rPr>
        <w:t xml:space="preserve"> FEMS </w:t>
      </w:r>
      <w:proofErr w:type="spellStart"/>
      <w:r w:rsidRPr="003F17F4">
        <w:rPr>
          <w:rFonts w:ascii="Arial" w:hAnsi="Arial" w:cs="Arial"/>
          <w:sz w:val="20"/>
          <w:szCs w:val="20"/>
        </w:rPr>
        <w:t>Microbiol</w:t>
      </w:r>
      <w:proofErr w:type="spellEnd"/>
      <w:r w:rsidRPr="003F17F4">
        <w:rPr>
          <w:rFonts w:ascii="Arial" w:hAnsi="Arial" w:cs="Arial"/>
          <w:sz w:val="20"/>
          <w:szCs w:val="20"/>
        </w:rPr>
        <w:t xml:space="preserve"> </w:t>
      </w:r>
      <w:proofErr w:type="spellStart"/>
      <w:r w:rsidRPr="003F17F4">
        <w:rPr>
          <w:rFonts w:ascii="Arial" w:hAnsi="Arial" w:cs="Arial"/>
          <w:sz w:val="20"/>
          <w:szCs w:val="20"/>
        </w:rPr>
        <w:t>Ecol</w:t>
      </w:r>
      <w:proofErr w:type="spellEnd"/>
      <w:r w:rsidRPr="003F17F4">
        <w:rPr>
          <w:rFonts w:ascii="Arial" w:hAnsi="Arial" w:cs="Arial"/>
          <w:sz w:val="20"/>
          <w:szCs w:val="20"/>
        </w:rPr>
        <w:t xml:space="preserve"> 2017;93 (11). </w:t>
      </w:r>
      <w:hyperlink r:id="rId9" w:history="1">
        <w:r w:rsidRPr="003F17F4">
          <w:rPr>
            <w:rStyle w:val="Hyperlink"/>
            <w:rFonts w:ascii="Arial" w:hAnsi="Arial" w:cs="Arial"/>
            <w:sz w:val="20"/>
            <w:szCs w:val="20"/>
          </w:rPr>
          <w:t>https://Doi.org/10.1093/femsec/fix136</w:t>
        </w:r>
      </w:hyperlink>
      <w:r w:rsidRPr="003F17F4">
        <w:rPr>
          <w:rFonts w:ascii="Arial" w:hAnsi="Arial" w:cs="Arial"/>
          <w:sz w:val="20"/>
          <w:szCs w:val="20"/>
        </w:rPr>
        <w:t xml:space="preserve">   </w:t>
      </w:r>
    </w:p>
    <w:p w14:paraId="0A49F44D" w14:textId="77777777" w:rsidR="003F17F4" w:rsidRPr="003F17F4" w:rsidRDefault="003F17F4" w:rsidP="003F17F4">
      <w:pPr>
        <w:pStyle w:val="ListParagraph"/>
        <w:numPr>
          <w:ilvl w:val="0"/>
          <w:numId w:val="2"/>
        </w:numPr>
        <w:ind w:left="360"/>
        <w:jc w:val="both"/>
        <w:rPr>
          <w:rFonts w:ascii="Arial" w:hAnsi="Arial" w:cs="Arial"/>
          <w:sz w:val="20"/>
          <w:szCs w:val="20"/>
        </w:rPr>
      </w:pPr>
      <w:proofErr w:type="spellStart"/>
      <w:r w:rsidRPr="003F17F4">
        <w:rPr>
          <w:rFonts w:ascii="Arial" w:hAnsi="Arial" w:cs="Arial"/>
          <w:sz w:val="20"/>
          <w:szCs w:val="20"/>
          <w:lang w:val="fr-FR"/>
        </w:rPr>
        <w:t>Chaitman</w:t>
      </w:r>
      <w:proofErr w:type="spellEnd"/>
      <w:r w:rsidRPr="003F17F4">
        <w:rPr>
          <w:rFonts w:ascii="Arial" w:hAnsi="Arial" w:cs="Arial"/>
          <w:sz w:val="20"/>
          <w:szCs w:val="20"/>
          <w:lang w:val="fr-FR"/>
        </w:rPr>
        <w:t xml:space="preserve"> </w:t>
      </w:r>
      <w:proofErr w:type="gramStart"/>
      <w:r w:rsidRPr="003F17F4">
        <w:rPr>
          <w:rFonts w:ascii="Arial" w:hAnsi="Arial" w:cs="Arial"/>
          <w:sz w:val="20"/>
          <w:szCs w:val="20"/>
          <w:lang w:val="fr-FR"/>
        </w:rPr>
        <w:t xml:space="preserve">J,  </w:t>
      </w:r>
      <w:proofErr w:type="spellStart"/>
      <w:r w:rsidRPr="003F17F4">
        <w:rPr>
          <w:rFonts w:ascii="Arial" w:hAnsi="Arial" w:cs="Arial"/>
          <w:sz w:val="20"/>
          <w:szCs w:val="20"/>
          <w:lang w:val="fr-FR"/>
        </w:rPr>
        <w:t>Ziese</w:t>
      </w:r>
      <w:proofErr w:type="spellEnd"/>
      <w:proofErr w:type="gramEnd"/>
      <w:r w:rsidRPr="003F17F4">
        <w:rPr>
          <w:rFonts w:ascii="Arial" w:hAnsi="Arial" w:cs="Arial"/>
          <w:sz w:val="20"/>
          <w:szCs w:val="20"/>
          <w:lang w:val="fr-FR"/>
        </w:rPr>
        <w:t xml:space="preserve"> AL, Pilla R et al. </w:t>
      </w:r>
      <w:r w:rsidRPr="003F17F4">
        <w:rPr>
          <w:rFonts w:ascii="Arial" w:hAnsi="Arial" w:cs="Arial"/>
          <w:sz w:val="20"/>
          <w:szCs w:val="20"/>
        </w:rPr>
        <w:t xml:space="preserve">Fecal Microbial and Metabolic Profiles in Dogs </w:t>
      </w:r>
      <w:proofErr w:type="gramStart"/>
      <w:r w:rsidRPr="003F17F4">
        <w:rPr>
          <w:rFonts w:ascii="Arial" w:hAnsi="Arial" w:cs="Arial"/>
          <w:sz w:val="20"/>
          <w:szCs w:val="20"/>
        </w:rPr>
        <w:t>With</w:t>
      </w:r>
      <w:proofErr w:type="gramEnd"/>
      <w:r w:rsidRPr="003F17F4">
        <w:rPr>
          <w:rFonts w:ascii="Arial" w:hAnsi="Arial" w:cs="Arial"/>
          <w:sz w:val="20"/>
          <w:szCs w:val="20"/>
        </w:rPr>
        <w:t xml:space="preserve"> Acute Diarrhea Receiving Either Fecal Microbiota Transplantation or Oral Metronidazole. Front Vet Sci. 2020 Apr </w:t>
      </w:r>
      <w:proofErr w:type="gramStart"/>
      <w:r w:rsidRPr="003F17F4">
        <w:rPr>
          <w:rFonts w:ascii="Arial" w:hAnsi="Arial" w:cs="Arial"/>
          <w:sz w:val="20"/>
          <w:szCs w:val="20"/>
        </w:rPr>
        <w:t>16;7:192</w:t>
      </w:r>
      <w:proofErr w:type="gramEnd"/>
      <w:r w:rsidRPr="003F17F4">
        <w:rPr>
          <w:rFonts w:ascii="Arial" w:hAnsi="Arial" w:cs="Arial"/>
          <w:sz w:val="20"/>
          <w:szCs w:val="20"/>
        </w:rPr>
        <w:t xml:space="preserve">. </w:t>
      </w:r>
      <w:hyperlink r:id="rId10" w:history="1">
        <w:r w:rsidRPr="003F17F4">
          <w:rPr>
            <w:rStyle w:val="Hyperlink"/>
            <w:rFonts w:ascii="Arial" w:hAnsi="Arial" w:cs="Arial"/>
            <w:sz w:val="20"/>
            <w:szCs w:val="20"/>
          </w:rPr>
          <w:t>https://Doi.org/10.3389/fvets.2020.00192</w:t>
        </w:r>
      </w:hyperlink>
      <w:r w:rsidRPr="003F17F4">
        <w:rPr>
          <w:rFonts w:ascii="Arial" w:hAnsi="Arial" w:cs="Arial"/>
          <w:sz w:val="20"/>
          <w:szCs w:val="20"/>
        </w:rPr>
        <w:t xml:space="preserve"> </w:t>
      </w:r>
    </w:p>
    <w:p w14:paraId="522DEF89" w14:textId="051B35CC" w:rsidR="003F17F4" w:rsidRPr="003F17F4" w:rsidRDefault="003F17F4" w:rsidP="003F17F4">
      <w:pPr>
        <w:pStyle w:val="ListParagraph"/>
        <w:numPr>
          <w:ilvl w:val="0"/>
          <w:numId w:val="2"/>
        </w:numPr>
        <w:ind w:left="360"/>
        <w:jc w:val="both"/>
        <w:rPr>
          <w:rFonts w:ascii="Arial" w:hAnsi="Arial" w:cs="Arial"/>
          <w:sz w:val="20"/>
          <w:szCs w:val="20"/>
        </w:rPr>
      </w:pPr>
      <w:proofErr w:type="spellStart"/>
      <w:r w:rsidRPr="003F17F4">
        <w:rPr>
          <w:rFonts w:ascii="Arial" w:hAnsi="Arial" w:cs="Arial"/>
          <w:sz w:val="20"/>
          <w:szCs w:val="20"/>
        </w:rPr>
        <w:t>Chaitman</w:t>
      </w:r>
      <w:proofErr w:type="spellEnd"/>
      <w:r w:rsidRPr="003F17F4">
        <w:rPr>
          <w:rFonts w:ascii="Arial" w:hAnsi="Arial" w:cs="Arial"/>
          <w:sz w:val="20"/>
          <w:szCs w:val="20"/>
        </w:rPr>
        <w:t xml:space="preserve"> J and Gaschen F: Fecal microbiota transplantation i</w:t>
      </w:r>
      <w:r w:rsidR="005C5340">
        <w:rPr>
          <w:rFonts w:ascii="Arial" w:hAnsi="Arial" w:cs="Arial"/>
          <w:sz w:val="20"/>
          <w:szCs w:val="20"/>
        </w:rPr>
        <w:t>n</w:t>
      </w:r>
      <w:r w:rsidRPr="003F17F4">
        <w:rPr>
          <w:rFonts w:ascii="Arial" w:hAnsi="Arial" w:cs="Arial"/>
          <w:sz w:val="20"/>
          <w:szCs w:val="20"/>
        </w:rPr>
        <w:t xml:space="preserve"> dogs. Vet Clin Small Anim 2021;51 219–233.  </w:t>
      </w:r>
      <w:hyperlink r:id="rId11" w:history="1">
        <w:r w:rsidRPr="003F17F4">
          <w:rPr>
            <w:rStyle w:val="Hyperlink"/>
            <w:rFonts w:ascii="Arial" w:hAnsi="Arial" w:cs="Arial"/>
            <w:sz w:val="20"/>
            <w:szCs w:val="20"/>
          </w:rPr>
          <w:t>https://Doi.org/10.1016/j.cvsm.2020.09.012</w:t>
        </w:r>
      </w:hyperlink>
      <w:r w:rsidRPr="003F17F4">
        <w:rPr>
          <w:rFonts w:ascii="Arial" w:hAnsi="Arial" w:cs="Arial"/>
          <w:sz w:val="20"/>
          <w:szCs w:val="20"/>
        </w:rPr>
        <w:t xml:space="preserve">   </w:t>
      </w:r>
    </w:p>
    <w:p w14:paraId="474B3223" w14:textId="77777777" w:rsidR="003F17F4" w:rsidRPr="003F17F4" w:rsidRDefault="003F17F4" w:rsidP="003F17F4">
      <w:pPr>
        <w:pStyle w:val="ListParagraph"/>
        <w:numPr>
          <w:ilvl w:val="0"/>
          <w:numId w:val="2"/>
        </w:numPr>
        <w:ind w:left="360"/>
        <w:jc w:val="both"/>
        <w:rPr>
          <w:rFonts w:ascii="Arial" w:hAnsi="Arial" w:cs="Arial"/>
          <w:sz w:val="20"/>
          <w:szCs w:val="20"/>
        </w:rPr>
      </w:pPr>
      <w:proofErr w:type="spellStart"/>
      <w:r w:rsidRPr="003F17F4">
        <w:rPr>
          <w:rFonts w:ascii="Arial" w:hAnsi="Arial" w:cs="Arial"/>
          <w:sz w:val="20"/>
          <w:szCs w:val="20"/>
          <w:lang w:val="fr-FR"/>
        </w:rPr>
        <w:t>Perereira</w:t>
      </w:r>
      <w:proofErr w:type="spellEnd"/>
      <w:r w:rsidRPr="003F17F4">
        <w:rPr>
          <w:rFonts w:ascii="Arial" w:hAnsi="Arial" w:cs="Arial"/>
          <w:sz w:val="20"/>
          <w:szCs w:val="20"/>
          <w:lang w:val="fr-FR"/>
        </w:rPr>
        <w:t xml:space="preserve"> GQ, Gomes LA, Santos IA, et al. </w:t>
      </w:r>
      <w:r w:rsidRPr="003F17F4">
        <w:rPr>
          <w:rFonts w:ascii="Arial" w:hAnsi="Arial" w:cs="Arial"/>
          <w:color w:val="000000"/>
          <w:sz w:val="20"/>
          <w:szCs w:val="20"/>
        </w:rPr>
        <w:t>Fecal microbiota transplantation in puppies with canine parvovirus infection.</w:t>
      </w:r>
      <w:r w:rsidRPr="003F17F4">
        <w:rPr>
          <w:rFonts w:ascii="Arial" w:hAnsi="Arial" w:cs="Arial"/>
          <w:sz w:val="20"/>
          <w:szCs w:val="20"/>
        </w:rPr>
        <w:t xml:space="preserve"> J Vet Intern Med 2018;32 (2): 707-11. </w:t>
      </w:r>
      <w:hyperlink r:id="rId12" w:history="1">
        <w:r w:rsidRPr="003F17F4">
          <w:rPr>
            <w:rStyle w:val="Hyperlink"/>
            <w:rFonts w:ascii="Arial" w:hAnsi="Arial" w:cs="Arial"/>
            <w:sz w:val="20"/>
            <w:szCs w:val="20"/>
          </w:rPr>
          <w:t>https://Doi.org/10.1111/jvim.1507</w:t>
        </w:r>
      </w:hyperlink>
      <w:r w:rsidRPr="003F17F4">
        <w:rPr>
          <w:rFonts w:ascii="Arial" w:hAnsi="Arial" w:cs="Arial"/>
          <w:sz w:val="20"/>
          <w:szCs w:val="20"/>
        </w:rPr>
        <w:t xml:space="preserve">  </w:t>
      </w:r>
    </w:p>
    <w:p w14:paraId="3BD3A66B" w14:textId="4A82661B" w:rsidR="00365069" w:rsidRDefault="00365069" w:rsidP="003F17F4">
      <w:pPr>
        <w:pStyle w:val="ListParagraph"/>
        <w:numPr>
          <w:ilvl w:val="0"/>
          <w:numId w:val="2"/>
        </w:numPr>
        <w:ind w:left="360"/>
        <w:jc w:val="both"/>
        <w:rPr>
          <w:rFonts w:ascii="Arial" w:hAnsi="Arial" w:cs="Arial"/>
          <w:sz w:val="20"/>
          <w:szCs w:val="20"/>
        </w:rPr>
      </w:pPr>
      <w:r>
        <w:rPr>
          <w:rFonts w:ascii="Arial" w:hAnsi="Arial" w:cs="Arial"/>
          <w:sz w:val="20"/>
          <w:szCs w:val="20"/>
        </w:rPr>
        <w:t>Randolph N</w:t>
      </w:r>
      <w:r w:rsidR="00D04EC8">
        <w:rPr>
          <w:rFonts w:ascii="Arial" w:hAnsi="Arial" w:cs="Arial"/>
          <w:sz w:val="20"/>
          <w:szCs w:val="20"/>
        </w:rPr>
        <w:t>K, Salerno M, Klein H, et al.</w:t>
      </w:r>
      <w:r>
        <w:rPr>
          <w:rFonts w:ascii="Arial" w:hAnsi="Arial" w:cs="Arial"/>
          <w:sz w:val="20"/>
          <w:szCs w:val="20"/>
        </w:rPr>
        <w:t xml:space="preserve">: </w:t>
      </w:r>
      <w:r w:rsidRPr="00365069">
        <w:rPr>
          <w:rFonts w:ascii="Arial" w:hAnsi="Arial" w:cs="Arial"/>
          <w:sz w:val="20"/>
          <w:szCs w:val="20"/>
        </w:rPr>
        <w:t>Preparation of Fecal Microbiota Transplantation Products for Companion Animals</w:t>
      </w:r>
      <w:r w:rsidR="00D04EC8">
        <w:rPr>
          <w:rFonts w:ascii="Arial" w:hAnsi="Arial" w:cs="Arial"/>
          <w:sz w:val="20"/>
          <w:szCs w:val="20"/>
        </w:rPr>
        <w:t xml:space="preserve">. </w:t>
      </w:r>
      <w:proofErr w:type="spellStart"/>
      <w:r w:rsidR="00D04EC8">
        <w:rPr>
          <w:rFonts w:ascii="Arial" w:hAnsi="Arial" w:cs="Arial"/>
          <w:sz w:val="20"/>
          <w:szCs w:val="20"/>
        </w:rPr>
        <w:t>PlosOne</w:t>
      </w:r>
      <w:proofErr w:type="spellEnd"/>
      <w:r w:rsidR="00D04EC8">
        <w:rPr>
          <w:rFonts w:ascii="Arial" w:hAnsi="Arial" w:cs="Arial"/>
          <w:sz w:val="20"/>
          <w:szCs w:val="20"/>
        </w:rPr>
        <w:t xml:space="preserve"> 20 (4): e0319161 </w:t>
      </w:r>
      <w:hyperlink r:id="rId13" w:history="1">
        <w:r w:rsidR="00D04EC8" w:rsidRPr="00155BDB">
          <w:rPr>
            <w:rStyle w:val="Hyperlink"/>
            <w:rFonts w:ascii="Arial" w:hAnsi="Arial" w:cs="Arial"/>
            <w:sz w:val="20"/>
            <w:szCs w:val="20"/>
          </w:rPr>
          <w:t>https://Doi.org/10.1371/journal.pone.0319161</w:t>
        </w:r>
      </w:hyperlink>
      <w:r w:rsidR="00D04EC8">
        <w:rPr>
          <w:rFonts w:ascii="Arial" w:hAnsi="Arial" w:cs="Arial"/>
          <w:sz w:val="20"/>
          <w:szCs w:val="20"/>
        </w:rPr>
        <w:t xml:space="preserve">   </w:t>
      </w:r>
    </w:p>
    <w:p w14:paraId="2ACF3A9D" w14:textId="472043BE" w:rsidR="003F17F4" w:rsidRPr="003F17F4" w:rsidRDefault="003F17F4" w:rsidP="003F17F4">
      <w:pPr>
        <w:pStyle w:val="ListParagraph"/>
        <w:numPr>
          <w:ilvl w:val="0"/>
          <w:numId w:val="2"/>
        </w:numPr>
        <w:ind w:left="360"/>
        <w:jc w:val="both"/>
        <w:rPr>
          <w:rFonts w:ascii="Arial" w:hAnsi="Arial" w:cs="Arial"/>
          <w:sz w:val="20"/>
          <w:szCs w:val="20"/>
        </w:rPr>
      </w:pPr>
      <w:r w:rsidRPr="003F17F4">
        <w:rPr>
          <w:rFonts w:ascii="Arial" w:hAnsi="Arial" w:cs="Arial"/>
          <w:sz w:val="20"/>
          <w:szCs w:val="20"/>
        </w:rPr>
        <w:t xml:space="preserve">Suchodolski J: Analysis of the gut microbiome in dogs and cats. Vet Clin Pathol. 2022 Feb;50 Suppl 1(Suppl 1):6-17. </w:t>
      </w:r>
      <w:hyperlink r:id="rId14" w:history="1">
        <w:r w:rsidRPr="003F17F4">
          <w:rPr>
            <w:rStyle w:val="Hyperlink"/>
            <w:rFonts w:ascii="Arial" w:hAnsi="Arial" w:cs="Arial"/>
            <w:sz w:val="20"/>
            <w:szCs w:val="20"/>
          </w:rPr>
          <w:t>https://Doi.org/10.1111/vcp.13031</w:t>
        </w:r>
      </w:hyperlink>
      <w:r w:rsidRPr="003F17F4">
        <w:rPr>
          <w:rFonts w:ascii="Arial" w:hAnsi="Arial" w:cs="Arial"/>
          <w:sz w:val="20"/>
          <w:szCs w:val="20"/>
        </w:rPr>
        <w:t xml:space="preserve"> </w:t>
      </w:r>
    </w:p>
    <w:p w14:paraId="6B0860F7" w14:textId="77777777" w:rsidR="003F17F4" w:rsidRPr="003F17F4" w:rsidRDefault="003F17F4" w:rsidP="003F17F4">
      <w:pPr>
        <w:pStyle w:val="ListParagraph"/>
        <w:numPr>
          <w:ilvl w:val="0"/>
          <w:numId w:val="2"/>
        </w:numPr>
        <w:ind w:left="360"/>
        <w:jc w:val="both"/>
        <w:rPr>
          <w:rFonts w:ascii="Arial" w:hAnsi="Arial" w:cs="Arial"/>
          <w:sz w:val="20"/>
          <w:szCs w:val="20"/>
          <w:lang w:val="de-DE"/>
        </w:rPr>
      </w:pPr>
      <w:r w:rsidRPr="003F17F4">
        <w:rPr>
          <w:rFonts w:ascii="Arial" w:hAnsi="Arial" w:cs="Arial"/>
          <w:sz w:val="20"/>
          <w:szCs w:val="20"/>
        </w:rPr>
        <w:t xml:space="preserve">Sung CH, Marsilio S, Chow B et al. Dysbiosis index to evaluate the fecal microbiota in healthy cats and cats with chronic enteropathies. </w:t>
      </w:r>
      <w:r w:rsidRPr="003F17F4">
        <w:rPr>
          <w:rFonts w:ascii="Arial" w:hAnsi="Arial" w:cs="Arial"/>
          <w:sz w:val="20"/>
          <w:szCs w:val="20"/>
          <w:lang w:val="de-DE"/>
        </w:rPr>
        <w:t xml:space="preserve">J </w:t>
      </w:r>
      <w:proofErr w:type="spellStart"/>
      <w:r w:rsidRPr="003F17F4">
        <w:rPr>
          <w:rFonts w:ascii="Arial" w:hAnsi="Arial" w:cs="Arial"/>
          <w:sz w:val="20"/>
          <w:szCs w:val="20"/>
          <w:lang w:val="de-DE"/>
        </w:rPr>
        <w:t>Fel</w:t>
      </w:r>
      <w:proofErr w:type="spellEnd"/>
      <w:r w:rsidRPr="003F17F4">
        <w:rPr>
          <w:rFonts w:ascii="Arial" w:hAnsi="Arial" w:cs="Arial"/>
          <w:sz w:val="20"/>
          <w:szCs w:val="20"/>
          <w:lang w:val="de-DE"/>
        </w:rPr>
        <w:t xml:space="preserve"> </w:t>
      </w:r>
      <w:proofErr w:type="spellStart"/>
      <w:r w:rsidRPr="003F17F4">
        <w:rPr>
          <w:rFonts w:ascii="Arial" w:hAnsi="Arial" w:cs="Arial"/>
          <w:sz w:val="20"/>
          <w:szCs w:val="20"/>
          <w:lang w:val="de-DE"/>
        </w:rPr>
        <w:t>Med</w:t>
      </w:r>
      <w:proofErr w:type="spellEnd"/>
      <w:r w:rsidRPr="003F17F4">
        <w:rPr>
          <w:rFonts w:ascii="Arial" w:hAnsi="Arial" w:cs="Arial"/>
          <w:sz w:val="20"/>
          <w:szCs w:val="20"/>
          <w:lang w:val="de-DE"/>
        </w:rPr>
        <w:t xml:space="preserve"> and </w:t>
      </w:r>
      <w:proofErr w:type="spellStart"/>
      <w:r w:rsidRPr="003F17F4">
        <w:rPr>
          <w:rFonts w:ascii="Arial" w:hAnsi="Arial" w:cs="Arial"/>
          <w:sz w:val="20"/>
          <w:szCs w:val="20"/>
          <w:lang w:val="de-DE"/>
        </w:rPr>
        <w:t>Surg</w:t>
      </w:r>
      <w:proofErr w:type="spellEnd"/>
      <w:r w:rsidRPr="003F17F4">
        <w:rPr>
          <w:rFonts w:ascii="Arial" w:hAnsi="Arial" w:cs="Arial"/>
          <w:sz w:val="20"/>
          <w:szCs w:val="20"/>
          <w:lang w:val="de-DE"/>
        </w:rPr>
        <w:t xml:space="preserve">. 2022; 24 (6) e1-e12. </w:t>
      </w:r>
      <w:hyperlink r:id="rId15" w:history="1">
        <w:r w:rsidRPr="003F17F4">
          <w:rPr>
            <w:rStyle w:val="Hyperlink"/>
            <w:rFonts w:ascii="Arial" w:hAnsi="Arial" w:cs="Arial"/>
            <w:sz w:val="20"/>
            <w:szCs w:val="20"/>
            <w:lang w:val="de-DE"/>
          </w:rPr>
          <w:t>https://Doi.org/10.1177/1098612X221077876</w:t>
        </w:r>
      </w:hyperlink>
      <w:r w:rsidRPr="003F17F4">
        <w:rPr>
          <w:rFonts w:ascii="Arial" w:hAnsi="Arial" w:cs="Arial"/>
          <w:sz w:val="20"/>
          <w:szCs w:val="20"/>
          <w:lang w:val="de-DE"/>
        </w:rPr>
        <w:t xml:space="preserve"> </w:t>
      </w:r>
    </w:p>
    <w:p w14:paraId="1E56D048" w14:textId="1B15D720" w:rsidR="003F17F4" w:rsidRPr="003F17F4" w:rsidRDefault="003F17F4" w:rsidP="003F17F4">
      <w:pPr>
        <w:pStyle w:val="ListParagraph"/>
        <w:numPr>
          <w:ilvl w:val="0"/>
          <w:numId w:val="2"/>
        </w:numPr>
        <w:ind w:left="360"/>
        <w:jc w:val="both"/>
        <w:rPr>
          <w:rFonts w:ascii="Arial" w:hAnsi="Arial" w:cs="Arial"/>
          <w:sz w:val="20"/>
          <w:szCs w:val="20"/>
        </w:rPr>
      </w:pPr>
      <w:proofErr w:type="spellStart"/>
      <w:r w:rsidRPr="003F17F4">
        <w:rPr>
          <w:rFonts w:ascii="Arial" w:hAnsi="Arial" w:cs="Arial"/>
          <w:sz w:val="20"/>
          <w:szCs w:val="20"/>
          <w:lang w:val="fr-FR"/>
        </w:rPr>
        <w:lastRenderedPageBreak/>
        <w:t>Toresson</w:t>
      </w:r>
      <w:proofErr w:type="spellEnd"/>
      <w:r w:rsidRPr="003F17F4">
        <w:rPr>
          <w:rFonts w:ascii="Arial" w:hAnsi="Arial" w:cs="Arial"/>
          <w:sz w:val="20"/>
          <w:szCs w:val="20"/>
          <w:lang w:val="fr-FR"/>
        </w:rPr>
        <w:t xml:space="preserve"> L, </w:t>
      </w:r>
      <w:proofErr w:type="spellStart"/>
      <w:r w:rsidRPr="003F17F4">
        <w:rPr>
          <w:rFonts w:ascii="Arial" w:hAnsi="Arial" w:cs="Arial"/>
          <w:sz w:val="20"/>
          <w:szCs w:val="20"/>
          <w:lang w:val="fr-FR"/>
        </w:rPr>
        <w:t>Spillmann</w:t>
      </w:r>
      <w:proofErr w:type="spellEnd"/>
      <w:r w:rsidRPr="003F17F4">
        <w:rPr>
          <w:rFonts w:ascii="Arial" w:hAnsi="Arial" w:cs="Arial"/>
          <w:sz w:val="20"/>
          <w:szCs w:val="20"/>
          <w:lang w:val="fr-FR"/>
        </w:rPr>
        <w:t xml:space="preserve"> T, Pilla R et al. </w:t>
      </w:r>
      <w:r w:rsidRPr="003F17F4">
        <w:rPr>
          <w:rFonts w:ascii="Arial" w:hAnsi="Arial" w:cs="Arial"/>
          <w:sz w:val="20"/>
          <w:szCs w:val="20"/>
        </w:rPr>
        <w:t xml:space="preserve">Clinical Effects of </w:t>
      </w:r>
      <w:proofErr w:type="spellStart"/>
      <w:r w:rsidRPr="003F17F4">
        <w:rPr>
          <w:rFonts w:ascii="Arial" w:hAnsi="Arial" w:cs="Arial"/>
          <w:sz w:val="20"/>
          <w:szCs w:val="20"/>
        </w:rPr>
        <w:t>Faecal</w:t>
      </w:r>
      <w:proofErr w:type="spellEnd"/>
      <w:r w:rsidRPr="003F17F4">
        <w:rPr>
          <w:rFonts w:ascii="Arial" w:hAnsi="Arial" w:cs="Arial"/>
          <w:sz w:val="20"/>
          <w:szCs w:val="20"/>
        </w:rPr>
        <w:t xml:space="preserve"> Microbiota Transplantation as Adjunctive Therapy in Dogs with Chronic Enteropathies - A Retrospective Case Series of 41 Dogs. Veterinary Sciences 2023. </w:t>
      </w:r>
      <w:hyperlink r:id="rId16" w:history="1">
        <w:r w:rsidR="00383BBE">
          <w:rPr>
            <w:rStyle w:val="Hyperlink"/>
            <w:rFonts w:ascii="Arial" w:hAnsi="Arial" w:cs="Arial"/>
            <w:sz w:val="20"/>
            <w:szCs w:val="20"/>
          </w:rPr>
          <w:t>https://doi.org/10.3390/vetsci10040271/</w:t>
        </w:r>
      </w:hyperlink>
    </w:p>
    <w:p w14:paraId="0C63E9D4" w14:textId="65221833" w:rsidR="00383BBE" w:rsidRPr="00383BBE" w:rsidRDefault="00383BBE" w:rsidP="00F541C9">
      <w:pPr>
        <w:pStyle w:val="ListParagraph"/>
        <w:numPr>
          <w:ilvl w:val="0"/>
          <w:numId w:val="2"/>
        </w:numPr>
        <w:ind w:left="360"/>
        <w:jc w:val="both"/>
        <w:rPr>
          <w:rFonts w:cs="Arial"/>
          <w:szCs w:val="20"/>
        </w:rPr>
      </w:pPr>
      <w:proofErr w:type="spellStart"/>
      <w:r w:rsidRPr="00383BBE">
        <w:rPr>
          <w:rFonts w:ascii="Arial" w:hAnsi="Arial" w:cs="Arial"/>
          <w:sz w:val="20"/>
          <w:szCs w:val="20"/>
        </w:rPr>
        <w:t>Vecchiato</w:t>
      </w:r>
      <w:proofErr w:type="spellEnd"/>
      <w:r w:rsidRPr="00383BBE">
        <w:rPr>
          <w:rFonts w:ascii="Arial" w:hAnsi="Arial" w:cs="Arial"/>
          <w:sz w:val="20"/>
          <w:szCs w:val="20"/>
        </w:rPr>
        <w:t xml:space="preserve"> CG, Sabetti MC, Sung CH</w:t>
      </w:r>
      <w:r>
        <w:rPr>
          <w:rFonts w:ascii="Arial" w:hAnsi="Arial" w:cs="Arial"/>
          <w:sz w:val="20"/>
          <w:szCs w:val="20"/>
        </w:rPr>
        <w:t xml:space="preserve"> et al. </w:t>
      </w:r>
      <w:r w:rsidRPr="00383BBE">
        <w:rPr>
          <w:rFonts w:ascii="Arial" w:hAnsi="Arial" w:cs="Arial"/>
          <w:sz w:val="20"/>
          <w:szCs w:val="20"/>
        </w:rPr>
        <w:t xml:space="preserve">Effect of </w:t>
      </w:r>
      <w:proofErr w:type="spellStart"/>
      <w:r w:rsidRPr="00383BBE">
        <w:rPr>
          <w:rFonts w:ascii="Arial" w:hAnsi="Arial" w:cs="Arial"/>
          <w:sz w:val="20"/>
          <w:szCs w:val="20"/>
        </w:rPr>
        <w:t>faecal</w:t>
      </w:r>
      <w:proofErr w:type="spellEnd"/>
      <w:r w:rsidRPr="00383BBE">
        <w:rPr>
          <w:rFonts w:ascii="Arial" w:hAnsi="Arial" w:cs="Arial"/>
          <w:sz w:val="20"/>
          <w:szCs w:val="20"/>
        </w:rPr>
        <w:t xml:space="preserve"> microbial transplantation on clinical outcome, </w:t>
      </w:r>
      <w:proofErr w:type="spellStart"/>
      <w:r w:rsidRPr="00383BBE">
        <w:rPr>
          <w:rFonts w:ascii="Arial" w:hAnsi="Arial" w:cs="Arial"/>
          <w:sz w:val="20"/>
          <w:szCs w:val="20"/>
        </w:rPr>
        <w:t>faecal</w:t>
      </w:r>
      <w:proofErr w:type="spellEnd"/>
      <w:r w:rsidRPr="00383BBE">
        <w:rPr>
          <w:rFonts w:ascii="Arial" w:hAnsi="Arial" w:cs="Arial"/>
          <w:sz w:val="20"/>
          <w:szCs w:val="20"/>
        </w:rPr>
        <w:t xml:space="preserve"> microbiota and metabolome in dogs with chronic enteropathy refractory to diet</w:t>
      </w:r>
      <w:r>
        <w:rPr>
          <w:rFonts w:ascii="Arial" w:hAnsi="Arial" w:cs="Arial"/>
          <w:sz w:val="20"/>
          <w:szCs w:val="20"/>
        </w:rPr>
        <w:t xml:space="preserve">. Sci Rep 2025; 15: 11957 </w:t>
      </w:r>
      <w:hyperlink r:id="rId17" w:history="1">
        <w:r w:rsidRPr="00155BDB">
          <w:rPr>
            <w:rStyle w:val="Hyperlink"/>
            <w:rFonts w:ascii="Arial" w:hAnsi="Arial" w:cs="Arial"/>
            <w:sz w:val="20"/>
            <w:szCs w:val="20"/>
          </w:rPr>
          <w:t>https://doi.org/10.1038/s41598-025-96906-7</w:t>
        </w:r>
      </w:hyperlink>
      <w:r>
        <w:rPr>
          <w:rFonts w:ascii="Arial" w:hAnsi="Arial" w:cs="Arial"/>
          <w:sz w:val="20"/>
          <w:szCs w:val="20"/>
        </w:rPr>
        <w:t xml:space="preserve"> </w:t>
      </w:r>
    </w:p>
    <w:p w14:paraId="6B1822D8" w14:textId="506D4E5B" w:rsidR="00DD48B0" w:rsidRPr="00DD48B0" w:rsidRDefault="003F17F4" w:rsidP="00F541C9">
      <w:pPr>
        <w:pStyle w:val="ListParagraph"/>
        <w:numPr>
          <w:ilvl w:val="0"/>
          <w:numId w:val="2"/>
        </w:numPr>
        <w:ind w:left="360"/>
        <w:jc w:val="both"/>
        <w:rPr>
          <w:rFonts w:cs="Arial"/>
          <w:szCs w:val="20"/>
        </w:rPr>
      </w:pPr>
      <w:r w:rsidRPr="00DD48B0">
        <w:rPr>
          <w:rFonts w:ascii="Arial" w:hAnsi="Arial" w:cs="Arial"/>
          <w:sz w:val="20"/>
          <w:szCs w:val="20"/>
        </w:rPr>
        <w:t xml:space="preserve">Winston J, Suchodolski J, Gaschen F et al. Clinical Guidelines for Fecal Microbiota Transplantation in Companion Animals. Advances in Small Animal Care 2024; 5, 79-107. </w:t>
      </w:r>
      <w:hyperlink r:id="rId18" w:history="1">
        <w:r w:rsidR="00D04EC8" w:rsidRPr="00155BDB">
          <w:rPr>
            <w:rStyle w:val="Hyperlink"/>
            <w:rFonts w:ascii="Arial" w:hAnsi="Arial" w:cs="Arial"/>
            <w:sz w:val="20"/>
            <w:szCs w:val="20"/>
          </w:rPr>
          <w:t>https://doi.org/10.1016/j.yasa.2024.06.006</w:t>
        </w:r>
      </w:hyperlink>
      <w:r w:rsidR="00D04EC8">
        <w:rPr>
          <w:rFonts w:ascii="Arial" w:hAnsi="Arial" w:cs="Arial"/>
          <w:sz w:val="20"/>
          <w:szCs w:val="20"/>
        </w:rPr>
        <w:t xml:space="preserve"> </w:t>
      </w:r>
    </w:p>
    <w:p w14:paraId="4BDC5E84" w14:textId="77777777" w:rsidR="00DD48B0" w:rsidRDefault="00DD48B0" w:rsidP="00DD48B0">
      <w:pPr>
        <w:rPr>
          <w:rFonts w:cs="Arial"/>
          <w:szCs w:val="20"/>
        </w:rPr>
      </w:pPr>
    </w:p>
    <w:p w14:paraId="3123CABF" w14:textId="77777777" w:rsidR="00DD48B0" w:rsidRDefault="00DD48B0" w:rsidP="00DD48B0">
      <w:pPr>
        <w:rPr>
          <w:rFonts w:cs="Arial"/>
          <w:szCs w:val="20"/>
        </w:rPr>
      </w:pPr>
    </w:p>
    <w:p w14:paraId="0C542A10" w14:textId="6022C671" w:rsidR="00F541C9" w:rsidRPr="00DD48B0" w:rsidRDefault="00F541C9" w:rsidP="00DD48B0">
      <w:pPr>
        <w:rPr>
          <w:rFonts w:cs="Arial"/>
          <w:szCs w:val="20"/>
        </w:rPr>
      </w:pPr>
      <w:r w:rsidRPr="00DD48B0">
        <w:rPr>
          <w:rFonts w:cs="Arial"/>
          <w:szCs w:val="20"/>
        </w:rPr>
        <w:t xml:space="preserve">Table 1: </w:t>
      </w:r>
      <w:proofErr w:type="spellStart"/>
      <w:r w:rsidRPr="00DD48B0">
        <w:rPr>
          <w:rFonts w:cs="Arial"/>
          <w:szCs w:val="20"/>
        </w:rPr>
        <w:t>Selection</w:t>
      </w:r>
      <w:proofErr w:type="spellEnd"/>
      <w:r w:rsidRPr="00DD48B0">
        <w:rPr>
          <w:rFonts w:cs="Arial"/>
          <w:szCs w:val="20"/>
        </w:rPr>
        <w:t xml:space="preserve"> </w:t>
      </w:r>
      <w:proofErr w:type="spellStart"/>
      <w:r w:rsidRPr="00DD48B0">
        <w:rPr>
          <w:rFonts w:cs="Arial"/>
          <w:szCs w:val="20"/>
        </w:rPr>
        <w:t>criteria</w:t>
      </w:r>
      <w:proofErr w:type="spellEnd"/>
      <w:r w:rsidRPr="00DD48B0">
        <w:rPr>
          <w:rFonts w:cs="Arial"/>
          <w:szCs w:val="20"/>
        </w:rPr>
        <w:t xml:space="preserve"> </w:t>
      </w:r>
      <w:proofErr w:type="spellStart"/>
      <w:r w:rsidRPr="00DD48B0">
        <w:rPr>
          <w:rFonts w:cs="Arial"/>
          <w:szCs w:val="20"/>
        </w:rPr>
        <w:t>for</w:t>
      </w:r>
      <w:proofErr w:type="spellEnd"/>
      <w:r w:rsidRPr="00DD48B0">
        <w:rPr>
          <w:rFonts w:cs="Arial"/>
          <w:szCs w:val="20"/>
        </w:rPr>
        <w:t xml:space="preserve"> canine fecal donors. </w:t>
      </w:r>
    </w:p>
    <w:p w14:paraId="13DE6D20" w14:textId="77777777" w:rsidR="00F541C9" w:rsidRPr="00F541C9" w:rsidRDefault="00F541C9" w:rsidP="00F541C9">
      <w:pPr>
        <w:rPr>
          <w:rFonts w:cs="Arial"/>
          <w:szCs w:val="20"/>
          <w:lang w:val="en-US"/>
        </w:rPr>
      </w:pPr>
    </w:p>
    <w:tbl>
      <w:tblPr>
        <w:tblStyle w:val="TableGrid"/>
        <w:tblW w:w="9350" w:type="dxa"/>
        <w:tblLook w:val="04A0" w:firstRow="1" w:lastRow="0" w:firstColumn="1" w:lastColumn="0" w:noHBand="0" w:noVBand="1"/>
      </w:tblPr>
      <w:tblGrid>
        <w:gridCol w:w="2813"/>
        <w:gridCol w:w="6537"/>
      </w:tblGrid>
      <w:tr w:rsidR="00DD48B0" w:rsidRPr="00F541C9" w14:paraId="775FD5EE" w14:textId="77777777" w:rsidTr="00A344C4">
        <w:tc>
          <w:tcPr>
            <w:tcW w:w="2813" w:type="dxa"/>
          </w:tcPr>
          <w:p w14:paraId="570D18C6" w14:textId="53B8FC57" w:rsidR="00DD48B0" w:rsidRPr="00F541C9" w:rsidRDefault="00DD48B0" w:rsidP="00537250">
            <w:pPr>
              <w:rPr>
                <w:rFonts w:cs="Arial"/>
                <w:color w:val="FFFFFF" w:themeColor="background1"/>
                <w:sz w:val="20"/>
                <w:szCs w:val="20"/>
                <w:u w:val="single"/>
              </w:rPr>
            </w:pPr>
            <w:r w:rsidRPr="00F541C9">
              <w:rPr>
                <w:rFonts w:cs="Arial"/>
                <w:sz w:val="20"/>
                <w:szCs w:val="20"/>
                <w:u w:val="single"/>
              </w:rPr>
              <w:t>History and physical exam</w:t>
            </w:r>
          </w:p>
        </w:tc>
        <w:tc>
          <w:tcPr>
            <w:tcW w:w="6537" w:type="dxa"/>
          </w:tcPr>
          <w:p w14:paraId="7AB583F9" w14:textId="77777777" w:rsidR="00DD48B0" w:rsidRPr="00F541C9" w:rsidRDefault="00DD48B0" w:rsidP="00DD48B0">
            <w:pPr>
              <w:rPr>
                <w:rFonts w:cs="Arial"/>
                <w:sz w:val="20"/>
                <w:szCs w:val="20"/>
              </w:rPr>
            </w:pPr>
            <w:r w:rsidRPr="00F541C9">
              <w:rPr>
                <w:rFonts w:cs="Arial"/>
                <w:sz w:val="20"/>
                <w:szCs w:val="20"/>
              </w:rPr>
              <w:t xml:space="preserve">Preferably between the ages of 1 and 10 years </w:t>
            </w:r>
          </w:p>
          <w:p w14:paraId="2C7C4DF4" w14:textId="2094D6A7" w:rsidR="00DD48B0" w:rsidRPr="00F541C9" w:rsidRDefault="00DD48B0" w:rsidP="00537250">
            <w:pPr>
              <w:rPr>
                <w:rFonts w:cs="Arial"/>
                <w:color w:val="FFFFFF" w:themeColor="background1"/>
                <w:sz w:val="20"/>
                <w:szCs w:val="20"/>
              </w:rPr>
            </w:pPr>
            <w:r w:rsidRPr="00F541C9">
              <w:rPr>
                <w:rFonts w:cs="Arial"/>
                <w:sz w:val="20"/>
                <w:szCs w:val="20"/>
              </w:rPr>
              <w:t>Preferably no travel history outside the local area</w:t>
            </w:r>
          </w:p>
        </w:tc>
      </w:tr>
      <w:tr w:rsidR="00DD48B0" w:rsidRPr="00F541C9" w14:paraId="1BEAF0F5" w14:textId="77777777" w:rsidTr="00DD48B0">
        <w:tc>
          <w:tcPr>
            <w:tcW w:w="2813" w:type="dxa"/>
          </w:tcPr>
          <w:p w14:paraId="329F043F" w14:textId="08FB8D6D" w:rsidR="00DD48B0" w:rsidRPr="00F541C9" w:rsidRDefault="00DD48B0" w:rsidP="00537250">
            <w:pPr>
              <w:rPr>
                <w:rFonts w:cs="Arial"/>
                <w:sz w:val="20"/>
                <w:szCs w:val="20"/>
                <w:u w:val="single"/>
              </w:rPr>
            </w:pPr>
          </w:p>
        </w:tc>
        <w:tc>
          <w:tcPr>
            <w:tcW w:w="6537" w:type="dxa"/>
          </w:tcPr>
          <w:p w14:paraId="60EC442C" w14:textId="3DB1ABE0" w:rsidR="00DD48B0" w:rsidRPr="00F541C9" w:rsidRDefault="00DD48B0" w:rsidP="00DD48B0">
            <w:pPr>
              <w:rPr>
                <w:rFonts w:cs="Arial"/>
                <w:sz w:val="20"/>
                <w:szCs w:val="20"/>
              </w:rPr>
            </w:pPr>
            <w:r w:rsidRPr="00F541C9">
              <w:rPr>
                <w:rFonts w:cs="Arial"/>
                <w:sz w:val="20"/>
                <w:szCs w:val="20"/>
              </w:rPr>
              <w:t>No health issues in the last 6 or 12 months</w:t>
            </w:r>
          </w:p>
        </w:tc>
      </w:tr>
      <w:tr w:rsidR="00DD48B0" w:rsidRPr="00F541C9" w14:paraId="2E15AC5B" w14:textId="77777777" w:rsidTr="00DD48B0">
        <w:tc>
          <w:tcPr>
            <w:tcW w:w="2813" w:type="dxa"/>
          </w:tcPr>
          <w:p w14:paraId="1F2AB9A7" w14:textId="77777777" w:rsidR="00DD48B0" w:rsidRPr="00F541C9" w:rsidRDefault="00DD48B0" w:rsidP="00537250">
            <w:pPr>
              <w:rPr>
                <w:rFonts w:cs="Arial"/>
                <w:sz w:val="20"/>
                <w:szCs w:val="20"/>
              </w:rPr>
            </w:pPr>
          </w:p>
        </w:tc>
        <w:tc>
          <w:tcPr>
            <w:tcW w:w="6537" w:type="dxa"/>
          </w:tcPr>
          <w:p w14:paraId="4520FC8E" w14:textId="0C8734B4" w:rsidR="00DD48B0" w:rsidRPr="00F541C9" w:rsidRDefault="00DD48B0" w:rsidP="00DD48B0">
            <w:pPr>
              <w:rPr>
                <w:rFonts w:cs="Arial"/>
                <w:sz w:val="20"/>
                <w:szCs w:val="20"/>
              </w:rPr>
            </w:pPr>
            <w:r w:rsidRPr="00F541C9">
              <w:rPr>
                <w:rFonts w:cs="Arial"/>
                <w:sz w:val="20"/>
                <w:szCs w:val="20"/>
              </w:rPr>
              <w:t>No history of chronic GI diseases, allergies and immune-mediated diseases</w:t>
            </w:r>
          </w:p>
        </w:tc>
      </w:tr>
      <w:tr w:rsidR="00DD48B0" w:rsidRPr="00F541C9" w14:paraId="7813CE81" w14:textId="77777777" w:rsidTr="00DD48B0">
        <w:tc>
          <w:tcPr>
            <w:tcW w:w="2813" w:type="dxa"/>
          </w:tcPr>
          <w:p w14:paraId="1081E39F" w14:textId="77777777" w:rsidR="00DD48B0" w:rsidRPr="00F541C9" w:rsidRDefault="00DD48B0" w:rsidP="00537250">
            <w:pPr>
              <w:rPr>
                <w:rFonts w:cs="Arial"/>
                <w:sz w:val="20"/>
                <w:szCs w:val="20"/>
              </w:rPr>
            </w:pPr>
          </w:p>
        </w:tc>
        <w:tc>
          <w:tcPr>
            <w:tcW w:w="6537" w:type="dxa"/>
          </w:tcPr>
          <w:p w14:paraId="620605F4" w14:textId="503DFFB9" w:rsidR="00DD48B0" w:rsidRPr="00F541C9" w:rsidRDefault="00DD48B0" w:rsidP="00DD48B0">
            <w:pPr>
              <w:rPr>
                <w:rFonts w:cs="Arial"/>
                <w:sz w:val="20"/>
                <w:szCs w:val="20"/>
              </w:rPr>
            </w:pPr>
            <w:r w:rsidRPr="00F541C9">
              <w:rPr>
                <w:rFonts w:cs="Arial"/>
                <w:sz w:val="20"/>
                <w:szCs w:val="20"/>
              </w:rPr>
              <w:t>Has not received any antibiotics in the last 12 months</w:t>
            </w:r>
          </w:p>
        </w:tc>
      </w:tr>
      <w:tr w:rsidR="00DD48B0" w:rsidRPr="00F541C9" w14:paraId="424B2601" w14:textId="77777777" w:rsidTr="00DD48B0">
        <w:tc>
          <w:tcPr>
            <w:tcW w:w="2813" w:type="dxa"/>
          </w:tcPr>
          <w:p w14:paraId="2AE61FAE" w14:textId="77777777" w:rsidR="00DD48B0" w:rsidRPr="00F541C9" w:rsidRDefault="00DD48B0" w:rsidP="00537250">
            <w:pPr>
              <w:rPr>
                <w:rFonts w:cs="Arial"/>
                <w:sz w:val="20"/>
                <w:szCs w:val="20"/>
              </w:rPr>
            </w:pPr>
          </w:p>
        </w:tc>
        <w:tc>
          <w:tcPr>
            <w:tcW w:w="6537" w:type="dxa"/>
          </w:tcPr>
          <w:p w14:paraId="595A1094" w14:textId="087C7A48" w:rsidR="00DD48B0" w:rsidRPr="00F541C9" w:rsidRDefault="00DD48B0" w:rsidP="00DD48B0">
            <w:pPr>
              <w:rPr>
                <w:rFonts w:cs="Arial"/>
                <w:sz w:val="20"/>
                <w:szCs w:val="20"/>
              </w:rPr>
            </w:pPr>
            <w:r w:rsidRPr="00F541C9">
              <w:rPr>
                <w:rFonts w:cs="Arial"/>
                <w:sz w:val="20"/>
                <w:szCs w:val="20"/>
              </w:rPr>
              <w:t>Regularly vaccinated according to existing guidelines</w:t>
            </w:r>
          </w:p>
        </w:tc>
      </w:tr>
      <w:tr w:rsidR="00DD48B0" w:rsidRPr="00F541C9" w14:paraId="14AE58D9" w14:textId="77777777" w:rsidTr="00DD48B0">
        <w:tc>
          <w:tcPr>
            <w:tcW w:w="2813" w:type="dxa"/>
          </w:tcPr>
          <w:p w14:paraId="57FDBEC4" w14:textId="77777777" w:rsidR="00DD48B0" w:rsidRPr="00F541C9" w:rsidRDefault="00DD48B0" w:rsidP="00537250">
            <w:pPr>
              <w:rPr>
                <w:rFonts w:cs="Arial"/>
                <w:sz w:val="20"/>
                <w:szCs w:val="20"/>
              </w:rPr>
            </w:pPr>
          </w:p>
        </w:tc>
        <w:tc>
          <w:tcPr>
            <w:tcW w:w="6537" w:type="dxa"/>
          </w:tcPr>
          <w:p w14:paraId="3C8C4D34" w14:textId="04C44EA2" w:rsidR="00DD48B0" w:rsidRPr="00F541C9" w:rsidRDefault="00DD48B0" w:rsidP="00DD48B0">
            <w:pPr>
              <w:rPr>
                <w:rFonts w:cs="Arial"/>
                <w:sz w:val="20"/>
                <w:szCs w:val="20"/>
              </w:rPr>
            </w:pPr>
            <w:r w:rsidRPr="00F541C9">
              <w:rPr>
                <w:rFonts w:cs="Arial"/>
                <w:sz w:val="20"/>
                <w:szCs w:val="20"/>
              </w:rPr>
              <w:t>Fed a balanced diet, raw diets excluded</w:t>
            </w:r>
          </w:p>
        </w:tc>
      </w:tr>
      <w:tr w:rsidR="00DD48B0" w:rsidRPr="00F541C9" w14:paraId="6BC6FD83" w14:textId="77777777" w:rsidTr="00DD48B0">
        <w:tc>
          <w:tcPr>
            <w:tcW w:w="2813" w:type="dxa"/>
          </w:tcPr>
          <w:p w14:paraId="7F934522" w14:textId="77777777" w:rsidR="00DD48B0" w:rsidRPr="00F541C9" w:rsidRDefault="00DD48B0" w:rsidP="00537250">
            <w:pPr>
              <w:rPr>
                <w:rFonts w:cs="Arial"/>
                <w:sz w:val="20"/>
                <w:szCs w:val="20"/>
              </w:rPr>
            </w:pPr>
          </w:p>
        </w:tc>
        <w:tc>
          <w:tcPr>
            <w:tcW w:w="6537" w:type="dxa"/>
          </w:tcPr>
          <w:p w14:paraId="4FD0346B" w14:textId="4FDD54E6" w:rsidR="00DD48B0" w:rsidRPr="00F541C9" w:rsidRDefault="00DD48B0" w:rsidP="00DD48B0">
            <w:pPr>
              <w:rPr>
                <w:rFonts w:cs="Arial"/>
                <w:sz w:val="20"/>
                <w:szCs w:val="20"/>
              </w:rPr>
            </w:pPr>
            <w:r w:rsidRPr="00F541C9">
              <w:rPr>
                <w:rFonts w:cs="Arial"/>
                <w:sz w:val="20"/>
                <w:szCs w:val="20"/>
              </w:rPr>
              <w:t>Not overweight or underweight (9-point body condition score between 4 and 6)</w:t>
            </w:r>
          </w:p>
        </w:tc>
      </w:tr>
      <w:tr w:rsidR="00DD48B0" w:rsidRPr="00F541C9" w14:paraId="768696C7" w14:textId="77777777" w:rsidTr="00DD48B0">
        <w:tc>
          <w:tcPr>
            <w:tcW w:w="2813" w:type="dxa"/>
          </w:tcPr>
          <w:p w14:paraId="4BF868C7" w14:textId="77777777" w:rsidR="00DD48B0" w:rsidRPr="00F541C9" w:rsidRDefault="00DD48B0" w:rsidP="00537250">
            <w:pPr>
              <w:rPr>
                <w:rFonts w:cs="Arial"/>
                <w:sz w:val="20"/>
                <w:szCs w:val="20"/>
              </w:rPr>
            </w:pPr>
          </w:p>
        </w:tc>
        <w:tc>
          <w:tcPr>
            <w:tcW w:w="6537" w:type="dxa"/>
          </w:tcPr>
          <w:p w14:paraId="13D86599" w14:textId="482BE03A" w:rsidR="00DD48B0" w:rsidRPr="00F541C9" w:rsidRDefault="00DD48B0" w:rsidP="00DD48B0">
            <w:pPr>
              <w:rPr>
                <w:rFonts w:cs="Arial"/>
                <w:sz w:val="20"/>
                <w:szCs w:val="20"/>
              </w:rPr>
            </w:pPr>
            <w:r w:rsidRPr="00F541C9">
              <w:rPr>
                <w:rFonts w:cs="Arial"/>
                <w:sz w:val="20"/>
                <w:szCs w:val="20"/>
              </w:rPr>
              <w:t>Normal fecal consistency</w:t>
            </w:r>
          </w:p>
        </w:tc>
      </w:tr>
      <w:tr w:rsidR="00DD48B0" w:rsidRPr="00F541C9" w14:paraId="13D51BB3" w14:textId="77777777" w:rsidTr="00DD48B0">
        <w:tc>
          <w:tcPr>
            <w:tcW w:w="2813" w:type="dxa"/>
          </w:tcPr>
          <w:p w14:paraId="24534901" w14:textId="77777777" w:rsidR="00DD48B0" w:rsidRPr="00F541C9" w:rsidRDefault="00DD48B0" w:rsidP="00537250">
            <w:pPr>
              <w:rPr>
                <w:rFonts w:cs="Arial"/>
                <w:sz w:val="20"/>
                <w:szCs w:val="20"/>
              </w:rPr>
            </w:pPr>
          </w:p>
        </w:tc>
        <w:tc>
          <w:tcPr>
            <w:tcW w:w="6537" w:type="dxa"/>
          </w:tcPr>
          <w:p w14:paraId="2A2476D1" w14:textId="5362FD8A" w:rsidR="00DD48B0" w:rsidRPr="00F541C9" w:rsidRDefault="00DD48B0" w:rsidP="00DD48B0">
            <w:pPr>
              <w:rPr>
                <w:rFonts w:cs="Arial"/>
                <w:sz w:val="20"/>
                <w:szCs w:val="20"/>
              </w:rPr>
            </w:pPr>
            <w:r w:rsidRPr="00F541C9">
              <w:rPr>
                <w:rFonts w:cs="Arial"/>
                <w:sz w:val="20"/>
                <w:szCs w:val="20"/>
              </w:rPr>
              <w:t>Deemed healthy on physical exam</w:t>
            </w:r>
          </w:p>
        </w:tc>
      </w:tr>
      <w:tr w:rsidR="00DD48B0" w:rsidRPr="00F541C9" w14:paraId="4A150C8A" w14:textId="77777777" w:rsidTr="00DD48B0">
        <w:tc>
          <w:tcPr>
            <w:tcW w:w="2813" w:type="dxa"/>
          </w:tcPr>
          <w:p w14:paraId="0D4FD643" w14:textId="77777777" w:rsidR="00DD48B0" w:rsidRDefault="00DD48B0" w:rsidP="00537250">
            <w:pPr>
              <w:rPr>
                <w:rFonts w:cs="Arial"/>
                <w:sz w:val="20"/>
                <w:szCs w:val="20"/>
                <w:u w:val="single"/>
              </w:rPr>
            </w:pPr>
            <w:r w:rsidRPr="00F541C9">
              <w:rPr>
                <w:rFonts w:cs="Arial"/>
                <w:sz w:val="20"/>
                <w:szCs w:val="20"/>
                <w:u w:val="single"/>
              </w:rPr>
              <w:t>Laboratory screening</w:t>
            </w:r>
          </w:p>
          <w:p w14:paraId="71944EAF" w14:textId="17A57E29" w:rsidR="00383BBE" w:rsidRPr="00F541C9" w:rsidRDefault="00383BBE" w:rsidP="00537250">
            <w:pPr>
              <w:rPr>
                <w:rFonts w:cs="Arial"/>
                <w:sz w:val="20"/>
                <w:szCs w:val="20"/>
              </w:rPr>
            </w:pPr>
          </w:p>
        </w:tc>
        <w:tc>
          <w:tcPr>
            <w:tcW w:w="6537" w:type="dxa"/>
          </w:tcPr>
          <w:p w14:paraId="619B734D" w14:textId="0251E223" w:rsidR="00DD48B0" w:rsidRPr="00F541C9" w:rsidRDefault="00DD48B0" w:rsidP="00DD48B0">
            <w:pPr>
              <w:rPr>
                <w:rFonts w:cs="Arial"/>
                <w:sz w:val="20"/>
                <w:szCs w:val="20"/>
              </w:rPr>
            </w:pPr>
            <w:r w:rsidRPr="00F541C9">
              <w:rPr>
                <w:rFonts w:cs="Arial"/>
                <w:sz w:val="20"/>
                <w:szCs w:val="20"/>
              </w:rPr>
              <w:t>Normal CBC and serum biochemistry</w:t>
            </w:r>
          </w:p>
        </w:tc>
      </w:tr>
      <w:tr w:rsidR="00DD48B0" w:rsidRPr="00F541C9" w14:paraId="74D1CAE4" w14:textId="77777777" w:rsidTr="00DD48B0">
        <w:tc>
          <w:tcPr>
            <w:tcW w:w="2813" w:type="dxa"/>
          </w:tcPr>
          <w:p w14:paraId="248EDF54" w14:textId="1A5D1C27" w:rsidR="00DD48B0" w:rsidRPr="00F541C9" w:rsidRDefault="00DD48B0" w:rsidP="00537250">
            <w:pPr>
              <w:rPr>
                <w:rFonts w:cs="Arial"/>
                <w:sz w:val="20"/>
                <w:szCs w:val="20"/>
                <w:u w:val="single"/>
              </w:rPr>
            </w:pPr>
          </w:p>
        </w:tc>
        <w:tc>
          <w:tcPr>
            <w:tcW w:w="6537" w:type="dxa"/>
          </w:tcPr>
          <w:p w14:paraId="181A6126" w14:textId="473004EF" w:rsidR="00DD48B0" w:rsidRPr="00F541C9" w:rsidRDefault="00383BBE" w:rsidP="00DD48B0">
            <w:pPr>
              <w:rPr>
                <w:rFonts w:cs="Arial"/>
                <w:sz w:val="20"/>
                <w:szCs w:val="20"/>
              </w:rPr>
            </w:pPr>
            <w:r w:rsidRPr="00F541C9">
              <w:rPr>
                <w:rFonts w:cs="Arial"/>
                <w:sz w:val="20"/>
                <w:szCs w:val="20"/>
              </w:rPr>
              <w:t>Negative for parasite ova on fecal floatation, consider empirical deworming with a broad-spectrum anthelmintic drug</w:t>
            </w:r>
          </w:p>
        </w:tc>
      </w:tr>
      <w:tr w:rsidR="00DD48B0" w:rsidRPr="00F541C9" w14:paraId="5D49CD90" w14:textId="77777777" w:rsidTr="00DD48B0">
        <w:tc>
          <w:tcPr>
            <w:tcW w:w="2813" w:type="dxa"/>
          </w:tcPr>
          <w:p w14:paraId="6866F969" w14:textId="77777777" w:rsidR="00DD48B0" w:rsidRPr="00F541C9" w:rsidRDefault="00DD48B0" w:rsidP="00537250">
            <w:pPr>
              <w:rPr>
                <w:rFonts w:cs="Arial"/>
                <w:sz w:val="20"/>
                <w:szCs w:val="20"/>
                <w:u w:val="single"/>
              </w:rPr>
            </w:pPr>
          </w:p>
        </w:tc>
        <w:tc>
          <w:tcPr>
            <w:tcW w:w="6537" w:type="dxa"/>
          </w:tcPr>
          <w:p w14:paraId="517B2E0D" w14:textId="34A4AE6E" w:rsidR="00DD48B0" w:rsidRPr="00F541C9" w:rsidRDefault="00DD48B0" w:rsidP="00DD48B0">
            <w:pPr>
              <w:rPr>
                <w:rFonts w:cs="Arial"/>
                <w:sz w:val="20"/>
                <w:szCs w:val="20"/>
              </w:rPr>
            </w:pPr>
            <w:r w:rsidRPr="00F541C9">
              <w:rPr>
                <w:rFonts w:cs="Arial"/>
                <w:sz w:val="20"/>
                <w:szCs w:val="20"/>
              </w:rPr>
              <w:t>Negative for Giardia oocysts on fecal floatation and ELISA fecal test, see above for empirical deworming*</w:t>
            </w:r>
          </w:p>
        </w:tc>
      </w:tr>
      <w:tr w:rsidR="00DD48B0" w:rsidRPr="00F541C9" w14:paraId="23EB7358" w14:textId="77777777" w:rsidTr="00DD48B0">
        <w:tc>
          <w:tcPr>
            <w:tcW w:w="2813" w:type="dxa"/>
          </w:tcPr>
          <w:p w14:paraId="735FF17D" w14:textId="77777777" w:rsidR="00DD48B0" w:rsidRPr="00F541C9" w:rsidRDefault="00DD48B0" w:rsidP="00537250">
            <w:pPr>
              <w:rPr>
                <w:rFonts w:cs="Arial"/>
                <w:sz w:val="20"/>
                <w:szCs w:val="20"/>
                <w:u w:val="single"/>
              </w:rPr>
            </w:pPr>
          </w:p>
        </w:tc>
        <w:tc>
          <w:tcPr>
            <w:tcW w:w="6537" w:type="dxa"/>
          </w:tcPr>
          <w:p w14:paraId="42C042FE" w14:textId="09808CBE" w:rsidR="00DD48B0" w:rsidRPr="00F541C9" w:rsidRDefault="00DD48B0" w:rsidP="00DD48B0">
            <w:pPr>
              <w:rPr>
                <w:rFonts w:cs="Arial"/>
                <w:sz w:val="20"/>
                <w:szCs w:val="20"/>
              </w:rPr>
            </w:pPr>
            <w:r w:rsidRPr="00F541C9">
              <w:rPr>
                <w:rFonts w:cs="Arial"/>
                <w:sz w:val="20"/>
                <w:szCs w:val="20"/>
              </w:rPr>
              <w:t xml:space="preserve">Consider testing for fecal pathogens such as </w:t>
            </w:r>
            <w:r w:rsidRPr="00F541C9">
              <w:rPr>
                <w:rFonts w:cs="Arial"/>
                <w:i/>
                <w:iCs/>
                <w:sz w:val="20"/>
                <w:szCs w:val="20"/>
              </w:rPr>
              <w:t>Salmonella</w:t>
            </w:r>
            <w:r w:rsidRPr="00F541C9">
              <w:rPr>
                <w:rFonts w:cs="Arial"/>
                <w:sz w:val="20"/>
                <w:szCs w:val="20"/>
              </w:rPr>
              <w:t xml:space="preserve"> spp., </w:t>
            </w:r>
            <w:r w:rsidRPr="00F541C9">
              <w:rPr>
                <w:rFonts w:cs="Arial"/>
                <w:i/>
                <w:iCs/>
                <w:sz w:val="20"/>
                <w:szCs w:val="20"/>
              </w:rPr>
              <w:t>Campylobacter</w:t>
            </w:r>
            <w:r w:rsidRPr="00F541C9">
              <w:rPr>
                <w:rFonts w:cs="Arial"/>
                <w:sz w:val="20"/>
                <w:szCs w:val="20"/>
              </w:rPr>
              <w:t xml:space="preserve"> spp., etc.*</w:t>
            </w:r>
          </w:p>
        </w:tc>
      </w:tr>
      <w:tr w:rsidR="00DD48B0" w:rsidRPr="00F541C9" w14:paraId="321663FF" w14:textId="77777777" w:rsidTr="00DD48B0">
        <w:tc>
          <w:tcPr>
            <w:tcW w:w="2813" w:type="dxa"/>
          </w:tcPr>
          <w:p w14:paraId="1AB4CF76" w14:textId="77777777" w:rsidR="00DD48B0" w:rsidRPr="00F541C9" w:rsidRDefault="00DD48B0" w:rsidP="00537250">
            <w:pPr>
              <w:rPr>
                <w:rFonts w:cs="Arial"/>
                <w:sz w:val="20"/>
                <w:szCs w:val="20"/>
                <w:u w:val="single"/>
              </w:rPr>
            </w:pPr>
          </w:p>
        </w:tc>
        <w:tc>
          <w:tcPr>
            <w:tcW w:w="6537" w:type="dxa"/>
          </w:tcPr>
          <w:p w14:paraId="2587A933" w14:textId="4A875DFC" w:rsidR="00DD48B0" w:rsidRPr="00F541C9" w:rsidRDefault="00383BBE" w:rsidP="00383BBE">
            <w:pPr>
              <w:rPr>
                <w:rFonts w:cs="Arial"/>
                <w:sz w:val="20"/>
                <w:szCs w:val="20"/>
              </w:rPr>
            </w:pPr>
            <w:r w:rsidRPr="00F541C9">
              <w:rPr>
                <w:rFonts w:cs="Arial"/>
                <w:sz w:val="20"/>
                <w:szCs w:val="20"/>
              </w:rPr>
              <w:t xml:space="preserve">Consider evaluation of </w:t>
            </w:r>
            <w:r>
              <w:rPr>
                <w:rFonts w:cs="Arial"/>
                <w:sz w:val="20"/>
                <w:szCs w:val="20"/>
              </w:rPr>
              <w:t>resting</w:t>
            </w:r>
            <w:r w:rsidRPr="00F541C9">
              <w:rPr>
                <w:rFonts w:cs="Arial"/>
                <w:sz w:val="20"/>
                <w:szCs w:val="20"/>
              </w:rPr>
              <w:t xml:space="preserve"> cortisol, thyroxine</w:t>
            </w:r>
          </w:p>
        </w:tc>
      </w:tr>
      <w:tr w:rsidR="00DD48B0" w:rsidRPr="00F541C9" w14:paraId="1E9B06C6" w14:textId="77777777" w:rsidTr="00DD48B0">
        <w:tc>
          <w:tcPr>
            <w:tcW w:w="2813" w:type="dxa"/>
          </w:tcPr>
          <w:p w14:paraId="03353CB9" w14:textId="77777777" w:rsidR="00DD48B0" w:rsidRDefault="00DD48B0" w:rsidP="00537250">
            <w:pPr>
              <w:rPr>
                <w:rFonts w:cs="Arial"/>
                <w:sz w:val="20"/>
                <w:szCs w:val="20"/>
                <w:u w:val="single"/>
              </w:rPr>
            </w:pPr>
            <w:r w:rsidRPr="00F541C9">
              <w:rPr>
                <w:rFonts w:cs="Arial"/>
                <w:sz w:val="20"/>
                <w:szCs w:val="20"/>
                <w:u w:val="single"/>
              </w:rPr>
              <w:t>Fecal microbiome evaluation</w:t>
            </w:r>
          </w:p>
          <w:p w14:paraId="2006EC0E" w14:textId="78B0B7DA" w:rsidR="00383BBE" w:rsidRPr="00F541C9" w:rsidRDefault="00383BBE" w:rsidP="00537250">
            <w:pPr>
              <w:rPr>
                <w:rFonts w:cs="Arial"/>
                <w:sz w:val="20"/>
                <w:szCs w:val="20"/>
                <w:u w:val="single"/>
              </w:rPr>
            </w:pPr>
          </w:p>
        </w:tc>
        <w:tc>
          <w:tcPr>
            <w:tcW w:w="6537" w:type="dxa"/>
          </w:tcPr>
          <w:p w14:paraId="449A9453" w14:textId="6CFA77A8" w:rsidR="00DD48B0" w:rsidRPr="00F541C9" w:rsidRDefault="00DD48B0" w:rsidP="00DD48B0">
            <w:pPr>
              <w:rPr>
                <w:rFonts w:cs="Arial"/>
                <w:sz w:val="20"/>
                <w:szCs w:val="20"/>
              </w:rPr>
            </w:pPr>
            <w:r w:rsidRPr="00F541C9">
              <w:rPr>
                <w:rFonts w:cs="Arial"/>
                <w:sz w:val="20"/>
                <w:szCs w:val="20"/>
              </w:rPr>
              <w:t>Fecal dysbiosis index below 0</w:t>
            </w:r>
          </w:p>
        </w:tc>
      </w:tr>
    </w:tbl>
    <w:p w14:paraId="100583F8" w14:textId="77777777" w:rsidR="00DD48B0" w:rsidRDefault="00DD48B0" w:rsidP="00F541C9">
      <w:pPr>
        <w:jc w:val="left"/>
        <w:rPr>
          <w:rFonts w:cs="Arial"/>
          <w:szCs w:val="20"/>
          <w:lang w:val="en-US"/>
        </w:rPr>
      </w:pPr>
    </w:p>
    <w:p w14:paraId="0F50EADD" w14:textId="5F631FCA" w:rsidR="00D04EC8" w:rsidRDefault="00F541C9" w:rsidP="00F541C9">
      <w:pPr>
        <w:jc w:val="left"/>
        <w:rPr>
          <w:rFonts w:cs="Arial"/>
          <w:color w:val="000000" w:themeColor="text1"/>
          <w:szCs w:val="20"/>
          <w:lang w:val="en-US"/>
        </w:rPr>
      </w:pPr>
      <w:r w:rsidRPr="00F541C9">
        <w:rPr>
          <w:rFonts w:cs="Arial"/>
          <w:szCs w:val="20"/>
          <w:lang w:val="en-US"/>
        </w:rPr>
        <w:t>*</w:t>
      </w:r>
      <w:r w:rsidRPr="00F541C9">
        <w:rPr>
          <w:rFonts w:cs="Arial"/>
          <w:color w:val="000000" w:themeColor="text1"/>
          <w:szCs w:val="20"/>
          <w:lang w:val="en-US"/>
        </w:rPr>
        <w:t xml:space="preserve"> The extent of infectious disease screening should be based on a risk assessment considering the likelihood of exposure of each individual donor candidate to infectious agents</w:t>
      </w:r>
      <w:r w:rsidR="00D04EC8">
        <w:rPr>
          <w:rFonts w:cs="Arial"/>
          <w:color w:val="000000" w:themeColor="text1"/>
          <w:szCs w:val="20"/>
          <w:lang w:val="en-US"/>
        </w:rPr>
        <w:t xml:space="preserve"> (e.g., dogs receiving a raw diet may need to be screened more extensively)</w:t>
      </w:r>
      <w:r w:rsidR="00383BBE">
        <w:rPr>
          <w:rFonts w:cs="Arial"/>
          <w:color w:val="000000" w:themeColor="text1"/>
          <w:szCs w:val="20"/>
          <w:lang w:val="en-US"/>
        </w:rPr>
        <w:t>.</w:t>
      </w:r>
    </w:p>
    <w:p w14:paraId="517D153F" w14:textId="039DFF98" w:rsidR="00F541C9" w:rsidRPr="00F541C9" w:rsidRDefault="00D04EC8" w:rsidP="00F541C9">
      <w:pPr>
        <w:jc w:val="left"/>
        <w:rPr>
          <w:rFonts w:cs="Arial"/>
          <w:szCs w:val="20"/>
          <w:lang w:val="en-US"/>
        </w:rPr>
      </w:pPr>
      <w:r>
        <w:rPr>
          <w:rFonts w:cs="Arial"/>
          <w:color w:val="000000" w:themeColor="text1"/>
          <w:szCs w:val="20"/>
          <w:lang w:val="en-US"/>
        </w:rPr>
        <w:t xml:space="preserve"> </w:t>
      </w:r>
    </w:p>
    <w:p w14:paraId="6FACCC1C" w14:textId="6550BC3C" w:rsidR="003F17F4" w:rsidRPr="00F541C9" w:rsidRDefault="00D04EC8" w:rsidP="00F541C9">
      <w:pPr>
        <w:jc w:val="left"/>
        <w:rPr>
          <w:rFonts w:cs="Arial"/>
          <w:b/>
          <w:szCs w:val="20"/>
        </w:rPr>
      </w:pPr>
      <w:r>
        <w:rPr>
          <w:rFonts w:cs="Arial"/>
          <w:szCs w:val="20"/>
          <w:lang w:val="en-US"/>
        </w:rPr>
        <w:t>Adapted f</w:t>
      </w:r>
      <w:r w:rsidR="00F541C9" w:rsidRPr="00F541C9">
        <w:rPr>
          <w:rFonts w:cs="Arial"/>
          <w:szCs w:val="20"/>
          <w:lang w:val="en-US"/>
        </w:rPr>
        <w:t xml:space="preserve">rom </w:t>
      </w:r>
      <w:proofErr w:type="spellStart"/>
      <w:r w:rsidR="00F541C9" w:rsidRPr="00F541C9">
        <w:rPr>
          <w:rFonts w:cs="Arial"/>
          <w:szCs w:val="20"/>
          <w:lang w:val="en-US"/>
        </w:rPr>
        <w:t>Chaitman</w:t>
      </w:r>
      <w:proofErr w:type="spellEnd"/>
      <w:r w:rsidR="00F541C9" w:rsidRPr="00F541C9">
        <w:rPr>
          <w:rFonts w:cs="Arial"/>
          <w:szCs w:val="20"/>
          <w:lang w:val="en-US"/>
        </w:rPr>
        <w:t xml:space="preserve"> J and Gaschen F: Fecal microbiota transplantation in dogs. Vet Clin Small Anim 51 (2021) 219–233 </w:t>
      </w:r>
    </w:p>
    <w:sectPr w:rsidR="003F17F4" w:rsidRPr="00F541C9" w:rsidSect="00DD48B0">
      <w:headerReference w:type="default" r:id="rId19"/>
      <w:pgSz w:w="11900" w:h="16840"/>
      <w:pgMar w:top="2233" w:right="1268" w:bottom="1417" w:left="1276" w:header="474"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6B8A" w14:textId="77777777" w:rsidR="008316D1" w:rsidRDefault="008316D1">
      <w:r>
        <w:separator/>
      </w:r>
    </w:p>
  </w:endnote>
  <w:endnote w:type="continuationSeparator" w:id="0">
    <w:p w14:paraId="064F864A" w14:textId="77777777" w:rsidR="008316D1" w:rsidRDefault="0083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7208" w14:textId="77777777" w:rsidR="008316D1" w:rsidRDefault="008316D1">
      <w:r>
        <w:separator/>
      </w:r>
    </w:p>
  </w:footnote>
  <w:footnote w:type="continuationSeparator" w:id="0">
    <w:p w14:paraId="497123A9" w14:textId="77777777" w:rsidR="008316D1" w:rsidRDefault="0083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5705" w14:textId="3DE24C64" w:rsidR="00E14FE7" w:rsidRDefault="002C7582" w:rsidP="00E14FE7">
    <w:pPr>
      <w:pStyle w:val="Header"/>
    </w:pPr>
    <w:r>
      <w:rPr>
        <w:noProof/>
      </w:rPr>
      <w:drawing>
        <wp:inline distT="0" distB="0" distL="0" distR="0" wp14:anchorId="2D99673B" wp14:editId="7BCA188F">
          <wp:extent cx="5920105" cy="856094"/>
          <wp:effectExtent l="0" t="0" r="0" b="0"/>
          <wp:docPr id="70187447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63431" name="Imagen 1" descr="Texto&#10;&#10;Descripción generada automáticamente"/>
                  <pic:cNvPicPr/>
                </pic:nvPicPr>
                <pic:blipFill>
                  <a:blip r:embed="rId1"/>
                  <a:stretch>
                    <a:fillRect/>
                  </a:stretch>
                </pic:blipFill>
                <pic:spPr>
                  <a:xfrm>
                    <a:off x="0" y="0"/>
                    <a:ext cx="6023460" cy="871040"/>
                  </a:xfrm>
                  <a:prstGeom prst="rect">
                    <a:avLst/>
                  </a:prstGeom>
                </pic:spPr>
              </pic:pic>
            </a:graphicData>
          </a:graphic>
        </wp:inline>
      </w:drawing>
    </w:r>
  </w:p>
  <w:p w14:paraId="34407033" w14:textId="16835324" w:rsidR="005106C4" w:rsidRDefault="005106C4" w:rsidP="00E14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83F446A"/>
    <w:multiLevelType w:val="hybridMultilevel"/>
    <w:tmpl w:val="8FCE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245184">
    <w:abstractNumId w:val="0"/>
  </w:num>
  <w:num w:numId="2" w16cid:durableId="610742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A5"/>
    <w:rsid w:val="00002940"/>
    <w:rsid w:val="00077429"/>
    <w:rsid w:val="00141694"/>
    <w:rsid w:val="001728FA"/>
    <w:rsid w:val="00173CD1"/>
    <w:rsid w:val="001A4B60"/>
    <w:rsid w:val="001F0307"/>
    <w:rsid w:val="002C7582"/>
    <w:rsid w:val="003001E6"/>
    <w:rsid w:val="00365069"/>
    <w:rsid w:val="00383BBE"/>
    <w:rsid w:val="0038762B"/>
    <w:rsid w:val="003D2427"/>
    <w:rsid w:val="003F17F4"/>
    <w:rsid w:val="00400C3B"/>
    <w:rsid w:val="00422A2F"/>
    <w:rsid w:val="004567D3"/>
    <w:rsid w:val="005079A5"/>
    <w:rsid w:val="005106C4"/>
    <w:rsid w:val="005C5340"/>
    <w:rsid w:val="00632DE5"/>
    <w:rsid w:val="006646D6"/>
    <w:rsid w:val="00664789"/>
    <w:rsid w:val="00674954"/>
    <w:rsid w:val="00682E54"/>
    <w:rsid w:val="0068578B"/>
    <w:rsid w:val="00716A21"/>
    <w:rsid w:val="0077642E"/>
    <w:rsid w:val="008059EF"/>
    <w:rsid w:val="008316D1"/>
    <w:rsid w:val="00880AEC"/>
    <w:rsid w:val="00947EEA"/>
    <w:rsid w:val="0099472F"/>
    <w:rsid w:val="009A0634"/>
    <w:rsid w:val="009B6399"/>
    <w:rsid w:val="00A15EEF"/>
    <w:rsid w:val="00B74D32"/>
    <w:rsid w:val="00BC605D"/>
    <w:rsid w:val="00BD25FD"/>
    <w:rsid w:val="00BD4146"/>
    <w:rsid w:val="00CC7846"/>
    <w:rsid w:val="00D04EC8"/>
    <w:rsid w:val="00DA6CE8"/>
    <w:rsid w:val="00DB242D"/>
    <w:rsid w:val="00DC2595"/>
    <w:rsid w:val="00DD48B0"/>
    <w:rsid w:val="00DF2AAE"/>
    <w:rsid w:val="00E14FE7"/>
    <w:rsid w:val="00F21940"/>
    <w:rsid w:val="00F541C9"/>
    <w:rsid w:val="00FE0394"/>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8E3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789"/>
    <w:pPr>
      <w:jc w:val="both"/>
    </w:pPr>
    <w:rPr>
      <w:rFonts w:ascii="Arial" w:hAnsi="Arial"/>
      <w:color w:val="000000"/>
      <w:szCs w:val="24"/>
      <w:lang w:eastAsia="en-US"/>
    </w:rPr>
  </w:style>
  <w:style w:type="paragraph" w:styleId="Heading1">
    <w:name w:val="heading 1"/>
    <w:basedOn w:val="Normal"/>
    <w:next w:val="Normal"/>
    <w:link w:val="Heading1Char"/>
    <w:uiPriority w:val="9"/>
    <w:qFormat/>
    <w:rsid w:val="005079A5"/>
    <w:pPr>
      <w:keepNext/>
      <w:keepLines/>
      <w:jc w:val="center"/>
      <w:outlineLvl w:val="0"/>
    </w:pPr>
    <w:rPr>
      <w:rFonts w:eastAsia="Times New Roman"/>
      <w:b/>
      <w:bCs/>
      <w:sz w:val="22"/>
      <w:szCs w:val="32"/>
    </w:rPr>
  </w:style>
  <w:style w:type="paragraph" w:styleId="Heading2">
    <w:name w:val="heading 2"/>
    <w:basedOn w:val="Normal"/>
    <w:next w:val="Normal"/>
    <w:link w:val="Heading2Char"/>
    <w:uiPriority w:val="9"/>
    <w:unhideWhenUsed/>
    <w:qFormat/>
    <w:rsid w:val="005079A5"/>
    <w:pPr>
      <w:keepNext/>
      <w:keepLines/>
      <w:jc w:val="center"/>
      <w:outlineLvl w:val="1"/>
    </w:pPr>
    <w:rPr>
      <w:rFonts w:eastAsia="Times New Roman"/>
      <w:bCs/>
      <w:szCs w:val="26"/>
    </w:rPr>
  </w:style>
  <w:style w:type="paragraph" w:styleId="Heading3">
    <w:name w:val="heading 3"/>
    <w:basedOn w:val="Normal"/>
    <w:next w:val="Normal"/>
    <w:link w:val="Heading3Char"/>
    <w:uiPriority w:val="9"/>
    <w:unhideWhenUsed/>
    <w:qFormat/>
    <w:rsid w:val="005079A5"/>
    <w:pPr>
      <w:keepNext/>
      <w:keepLines/>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9A5"/>
    <w:pPr>
      <w:tabs>
        <w:tab w:val="center" w:pos="4419"/>
        <w:tab w:val="right" w:pos="8838"/>
      </w:tabs>
    </w:pPr>
  </w:style>
  <w:style w:type="character" w:customStyle="1" w:styleId="HeaderChar">
    <w:name w:val="Header Char"/>
    <w:basedOn w:val="DefaultParagraphFont"/>
    <w:link w:val="Header"/>
    <w:uiPriority w:val="99"/>
    <w:rsid w:val="005079A5"/>
  </w:style>
  <w:style w:type="paragraph" w:styleId="Footer">
    <w:name w:val="footer"/>
    <w:basedOn w:val="Normal"/>
    <w:link w:val="FooterChar"/>
    <w:uiPriority w:val="99"/>
    <w:unhideWhenUsed/>
    <w:rsid w:val="005079A5"/>
    <w:pPr>
      <w:tabs>
        <w:tab w:val="center" w:pos="4419"/>
        <w:tab w:val="right" w:pos="8838"/>
      </w:tabs>
    </w:pPr>
  </w:style>
  <w:style w:type="character" w:customStyle="1" w:styleId="FooterChar">
    <w:name w:val="Footer Char"/>
    <w:basedOn w:val="DefaultParagraphFont"/>
    <w:link w:val="Footer"/>
    <w:uiPriority w:val="99"/>
    <w:rsid w:val="005079A5"/>
  </w:style>
  <w:style w:type="character" w:customStyle="1" w:styleId="Heading3Char">
    <w:name w:val="Heading 3 Char"/>
    <w:basedOn w:val="DefaultParagraphFont"/>
    <w:link w:val="Heading3"/>
    <w:uiPriority w:val="9"/>
    <w:rsid w:val="005079A5"/>
    <w:rPr>
      <w:rFonts w:ascii="Arial" w:eastAsia="Times New Roman" w:hAnsi="Arial" w:cs="Times New Roman"/>
      <w:b/>
      <w:bCs/>
      <w:color w:val="000000"/>
      <w:sz w:val="20"/>
    </w:rPr>
  </w:style>
  <w:style w:type="character" w:customStyle="1" w:styleId="Heading1Char">
    <w:name w:val="Heading 1 Char"/>
    <w:basedOn w:val="DefaultParagraphFont"/>
    <w:link w:val="Heading1"/>
    <w:uiPriority w:val="9"/>
    <w:rsid w:val="005079A5"/>
    <w:rPr>
      <w:rFonts w:ascii="Arial" w:eastAsia="Times New Roman" w:hAnsi="Arial" w:cs="Times New Roman"/>
      <w:b/>
      <w:bCs/>
      <w:sz w:val="22"/>
      <w:szCs w:val="32"/>
    </w:rPr>
  </w:style>
  <w:style w:type="character" w:customStyle="1" w:styleId="Heading2Char">
    <w:name w:val="Heading 2 Char"/>
    <w:basedOn w:val="DefaultParagraphFont"/>
    <w:link w:val="Heading2"/>
    <w:uiPriority w:val="9"/>
    <w:rsid w:val="005079A5"/>
    <w:rPr>
      <w:rFonts w:ascii="Arial" w:eastAsia="Times New Roman" w:hAnsi="Arial" w:cs="Times New Roman"/>
      <w:bCs/>
      <w:sz w:val="20"/>
      <w:szCs w:val="26"/>
    </w:rPr>
  </w:style>
  <w:style w:type="character" w:styleId="Hyperlink">
    <w:name w:val="Hyperlink"/>
    <w:basedOn w:val="DefaultParagraphFont"/>
    <w:uiPriority w:val="99"/>
    <w:unhideWhenUsed/>
    <w:rsid w:val="003F17F4"/>
    <w:rPr>
      <w:color w:val="0563C1" w:themeColor="hyperlink"/>
      <w:u w:val="single"/>
    </w:rPr>
  </w:style>
  <w:style w:type="paragraph" w:styleId="ListParagraph">
    <w:name w:val="List Paragraph"/>
    <w:basedOn w:val="Normal"/>
    <w:uiPriority w:val="34"/>
    <w:qFormat/>
    <w:rsid w:val="003F17F4"/>
    <w:pPr>
      <w:ind w:left="720"/>
      <w:contextualSpacing/>
      <w:jc w:val="left"/>
    </w:pPr>
    <w:rPr>
      <w:rFonts w:asciiTheme="minorHAnsi" w:eastAsiaTheme="minorHAnsi" w:hAnsiTheme="minorHAnsi" w:cstheme="minorBidi"/>
      <w:color w:val="auto"/>
      <w:sz w:val="24"/>
      <w:lang w:val="en-US"/>
    </w:rPr>
  </w:style>
  <w:style w:type="character" w:styleId="UnresolvedMention">
    <w:name w:val="Unresolved Mention"/>
    <w:basedOn w:val="DefaultParagraphFont"/>
    <w:uiPriority w:val="99"/>
    <w:rsid w:val="003F17F4"/>
    <w:rPr>
      <w:color w:val="605E5C"/>
      <w:shd w:val="clear" w:color="auto" w:fill="E1DFDD"/>
    </w:rPr>
  </w:style>
  <w:style w:type="table" w:styleId="TableGrid">
    <w:name w:val="Table Grid"/>
    <w:basedOn w:val="TableNormal"/>
    <w:uiPriority w:val="39"/>
    <w:rsid w:val="00F541C9"/>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4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ndPet.com" TargetMode="External"/><Relationship Id="rId13" Type="http://schemas.openxmlformats.org/officeDocument/2006/relationships/hyperlink" Target="https://Doi.org/10.1371/journal.pone.0319161" TargetMode="External"/><Relationship Id="rId18" Type="http://schemas.openxmlformats.org/officeDocument/2006/relationships/hyperlink" Target="https://doi.org/10.1016/j.yasa.2024.06.00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nimalBiome.com" TargetMode="External"/><Relationship Id="rId12" Type="http://schemas.openxmlformats.org/officeDocument/2006/relationships/hyperlink" Target="https://Doi.org/10.1111/jvim.1507" TargetMode="External"/><Relationship Id="rId17" Type="http://schemas.openxmlformats.org/officeDocument/2006/relationships/hyperlink" Target="https://doi.org/10.1038/s41598-025-96906-7" TargetMode="External"/><Relationship Id="rId2" Type="http://schemas.openxmlformats.org/officeDocument/2006/relationships/styles" Target="styles.xml"/><Relationship Id="rId16" Type="http://schemas.openxmlformats.org/officeDocument/2006/relationships/hyperlink" Target="https://doi.org/10.3390/vetsci1004027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vsm.2020.09.012" TargetMode="External"/><Relationship Id="rId5" Type="http://schemas.openxmlformats.org/officeDocument/2006/relationships/footnotes" Target="footnotes.xml"/><Relationship Id="rId15" Type="http://schemas.openxmlformats.org/officeDocument/2006/relationships/hyperlink" Target="https://Doi.org/10.1177/1098612X221077876" TargetMode="External"/><Relationship Id="rId10" Type="http://schemas.openxmlformats.org/officeDocument/2006/relationships/hyperlink" Target="https://Doi.org/10.3389/fvets.2020.0019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93/femsec/fix136" TargetMode="External"/><Relationship Id="rId14" Type="http://schemas.openxmlformats.org/officeDocument/2006/relationships/hyperlink" Target="https://Doi.org/10.1111/vcp.130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1713</Words>
  <Characters>9765</Characters>
  <Application>Microsoft Office Word</Application>
  <DocSecurity>0</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AVEPA-SEVC</Company>
  <LinksUpToDate>false</LinksUpToDate>
  <CharactersWithSpaces>11456</CharactersWithSpaces>
  <SharedDoc>false</SharedDoc>
  <HLinks>
    <vt:vector size="6" baseType="variant">
      <vt:variant>
        <vt:i4>1048638</vt:i4>
      </vt:variant>
      <vt:variant>
        <vt:i4>2148</vt:i4>
      </vt:variant>
      <vt:variant>
        <vt:i4>1025</vt:i4>
      </vt:variant>
      <vt:variant>
        <vt:i4>1</vt:i4>
      </vt:variant>
      <vt:variant>
        <vt:lpwstr>SEVC2016_softcongres_ENG_850x122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Idelsohn Zielonka</dc:creator>
  <cp:keywords/>
  <cp:lastModifiedBy>Frédéric Gaschen</cp:lastModifiedBy>
  <cp:revision>8</cp:revision>
  <dcterms:created xsi:type="dcterms:W3CDTF">2025-08-11T10:49:00Z</dcterms:created>
  <dcterms:modified xsi:type="dcterms:W3CDTF">2025-08-17T22:58:00Z</dcterms:modified>
</cp:coreProperties>
</file>